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E54" w:rsidRPr="00A00E54" w:rsidRDefault="00A00E54" w:rsidP="00A00E54">
      <w:pPr>
        <w:autoSpaceDE w:val="0"/>
        <w:autoSpaceDN w:val="0"/>
        <w:adjustRightInd w:val="0"/>
        <w:rPr>
          <w:rFonts w:eastAsia="TimesNewRoman"/>
        </w:rPr>
      </w:pPr>
      <w:bookmarkStart w:id="0" w:name="_GoBack"/>
      <w:bookmarkEnd w:id="0"/>
    </w:p>
    <w:p w:rsidR="00A00E54" w:rsidRPr="00A00E54" w:rsidRDefault="00A00E54" w:rsidP="00A00E54">
      <w:pPr>
        <w:autoSpaceDE w:val="0"/>
        <w:autoSpaceDN w:val="0"/>
        <w:adjustRightInd w:val="0"/>
        <w:rPr>
          <w:rFonts w:eastAsia="TimesNewRoman"/>
          <w:b/>
        </w:rPr>
      </w:pPr>
      <w:r w:rsidRPr="00A00E54">
        <w:rPr>
          <w:rFonts w:eastAsia="TimesNewRoman"/>
          <w:b/>
        </w:rPr>
        <w:t>Section 211.6740  Translucent Coating</w:t>
      </w:r>
    </w:p>
    <w:p w:rsidR="00A00E54" w:rsidRPr="00A00E54" w:rsidRDefault="00A00E54" w:rsidP="00A00E54">
      <w:pPr>
        <w:autoSpaceDE w:val="0"/>
        <w:autoSpaceDN w:val="0"/>
        <w:adjustRightInd w:val="0"/>
        <w:rPr>
          <w:rFonts w:eastAsia="TimesNewRoman"/>
        </w:rPr>
      </w:pPr>
    </w:p>
    <w:p w:rsidR="00A00E54" w:rsidRPr="00A00E54" w:rsidRDefault="00A00E54" w:rsidP="00A00E54">
      <w:pPr>
        <w:autoSpaceDE w:val="0"/>
        <w:autoSpaceDN w:val="0"/>
        <w:adjustRightInd w:val="0"/>
        <w:ind w:left="1440"/>
        <w:rPr>
          <w:rFonts w:eastAsia="TimesNewRoman"/>
        </w:rPr>
      </w:pPr>
      <w:r>
        <w:rPr>
          <w:rFonts w:eastAsia="TimesNewRoman"/>
        </w:rPr>
        <w:t>"</w:t>
      </w:r>
      <w:r w:rsidRPr="00A00E54">
        <w:rPr>
          <w:rFonts w:eastAsia="TimesNewRoman"/>
        </w:rPr>
        <w:t>Translucent coating</w:t>
      </w:r>
      <w:r>
        <w:rPr>
          <w:rFonts w:eastAsia="TimesNewRoman"/>
        </w:rPr>
        <w:t>"</w:t>
      </w:r>
      <w:r w:rsidRPr="00A00E54">
        <w:rPr>
          <w:rFonts w:eastAsia="TimesNewRoman"/>
        </w:rPr>
        <w:t xml:space="preserve"> means</w:t>
      </w:r>
      <w:r w:rsidRPr="00A00E54">
        <w:t xml:space="preserve">, for purposes of 35 </w:t>
      </w:r>
      <w:smartTag w:uri="urn:schemas-microsoft-com:office:smarttags" w:element="phone">
        <w:smartTag w:uri="urn:schemas-microsoft-com:office:smarttags" w:element="place">
          <w:r w:rsidRPr="00A00E54">
            <w:t>Ill.</w:t>
          </w:r>
        </w:smartTag>
      </w:smartTag>
      <w:r w:rsidRPr="00A00E54">
        <w:t xml:space="preserve"> Adm. Code 218 and 219, a coating </w:t>
      </w:r>
      <w:r w:rsidR="00650C25">
        <w:t xml:space="preserve">that </w:t>
      </w:r>
      <w:r w:rsidRPr="00A00E54">
        <w:t>contains binders and pigment, and is formulated to form a colored, but not opaque, film.</w:t>
      </w:r>
    </w:p>
    <w:p w:rsidR="00A00E54" w:rsidRPr="00A00E54" w:rsidRDefault="00A00E54" w:rsidP="00A00E54"/>
    <w:p w:rsidR="00A00E54" w:rsidRPr="00D55B37" w:rsidRDefault="00A00E54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047740">
        <w:t>141</w:t>
      </w:r>
      <w:r w:rsidR="00D36979">
        <w:t>19</w:t>
      </w:r>
      <w:r w:rsidRPr="00D55B37">
        <w:t xml:space="preserve">, effective </w:t>
      </w:r>
      <w:r w:rsidR="00047740">
        <w:t>September 14, 2010</w:t>
      </w:r>
      <w:r w:rsidRPr="00D55B37">
        <w:t>)</w:t>
      </w:r>
    </w:p>
    <w:sectPr w:rsidR="00A00E54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47F" w:rsidRDefault="0037747F">
      <w:r>
        <w:separator/>
      </w:r>
    </w:p>
  </w:endnote>
  <w:endnote w:type="continuationSeparator" w:id="0">
    <w:p w:rsidR="0037747F" w:rsidRDefault="0037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47F" w:rsidRDefault="0037747F">
      <w:r>
        <w:separator/>
      </w:r>
    </w:p>
  </w:footnote>
  <w:footnote w:type="continuationSeparator" w:id="0">
    <w:p w:rsidR="0037747F" w:rsidRDefault="00377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06D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7740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0EAF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7899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6F0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7747F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6D9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75D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0C25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6492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0E54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626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979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0E54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0E54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