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C3" w:rsidRDefault="006B18C3" w:rsidP="006B18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8C3" w:rsidRDefault="006B18C3" w:rsidP="006B18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211.4910  Portable Grain-Handling Equipment</w:t>
      </w:r>
      <w:r>
        <w:t xml:space="preserve"> </w:t>
      </w:r>
    </w:p>
    <w:p w:rsidR="006B18C3" w:rsidRDefault="006B18C3" w:rsidP="006B18C3">
      <w:pPr>
        <w:widowControl w:val="0"/>
        <w:autoSpaceDE w:val="0"/>
        <w:autoSpaceDN w:val="0"/>
        <w:adjustRightInd w:val="0"/>
      </w:pPr>
    </w:p>
    <w:p w:rsidR="006B18C3" w:rsidRDefault="006B18C3" w:rsidP="006B18C3">
      <w:pPr>
        <w:widowControl w:val="0"/>
        <w:autoSpaceDE w:val="0"/>
        <w:autoSpaceDN w:val="0"/>
        <w:adjustRightInd w:val="0"/>
      </w:pPr>
      <w:r>
        <w:t xml:space="preserve">"Portable grain-handling equipment" means any equipment (excluding portable grain dryers) that is designed and maintained to be movable primarily for use in a non-continuous operation for loading and unloading one-turn storage space and is not physically connected to the grain elevator, provided that the manufacturer's rated capacity of the equipment does not exceed 10,000 bushels per hour. </w:t>
      </w:r>
    </w:p>
    <w:p w:rsidR="006B18C3" w:rsidRDefault="006B18C3" w:rsidP="006B18C3">
      <w:pPr>
        <w:widowControl w:val="0"/>
        <w:autoSpaceDE w:val="0"/>
        <w:autoSpaceDN w:val="0"/>
        <w:adjustRightInd w:val="0"/>
      </w:pPr>
    </w:p>
    <w:p w:rsidR="006B18C3" w:rsidRDefault="006B18C3" w:rsidP="006B18C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B18C3" w:rsidSect="006B18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8C3"/>
    <w:rsid w:val="005C3366"/>
    <w:rsid w:val="006B18C3"/>
    <w:rsid w:val="00811432"/>
    <w:rsid w:val="00AD01E4"/>
    <w:rsid w:val="00D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