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63" w:rsidRDefault="00497C63" w:rsidP="00497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C63" w:rsidRDefault="00497C63" w:rsidP="00497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211.3660  Marine Vessel</w:t>
      </w:r>
      <w:r>
        <w:t xml:space="preserve"> </w:t>
      </w:r>
    </w:p>
    <w:p w:rsidR="00497C63" w:rsidRDefault="00497C63" w:rsidP="00497C63">
      <w:pPr>
        <w:widowControl w:val="0"/>
        <w:autoSpaceDE w:val="0"/>
        <w:autoSpaceDN w:val="0"/>
        <w:adjustRightInd w:val="0"/>
      </w:pPr>
    </w:p>
    <w:p w:rsidR="00497C63" w:rsidRDefault="00497C63" w:rsidP="00497C63">
      <w:pPr>
        <w:widowControl w:val="0"/>
        <w:autoSpaceDE w:val="0"/>
        <w:autoSpaceDN w:val="0"/>
        <w:adjustRightInd w:val="0"/>
      </w:pPr>
      <w:r>
        <w:t xml:space="preserve">"Marine vessel" means any tanker, freighter, barge, or other watercraft which transports solid or liquid freight, including grain, coal, rock, petroleum liquid, or crude oil in bulk. </w:t>
      </w:r>
    </w:p>
    <w:p w:rsidR="00497C63" w:rsidRDefault="00497C63" w:rsidP="00497C63">
      <w:pPr>
        <w:widowControl w:val="0"/>
        <w:autoSpaceDE w:val="0"/>
        <w:autoSpaceDN w:val="0"/>
        <w:adjustRightInd w:val="0"/>
      </w:pPr>
    </w:p>
    <w:p w:rsidR="00497C63" w:rsidRDefault="00497C63" w:rsidP="00497C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16379, effective October 25, 1994) </w:t>
      </w:r>
    </w:p>
    <w:sectPr w:rsidR="00497C63" w:rsidSect="00497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C63"/>
    <w:rsid w:val="00014B2D"/>
    <w:rsid w:val="0043798E"/>
    <w:rsid w:val="00497C63"/>
    <w:rsid w:val="005C3366"/>
    <w:rsid w:val="005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