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DBC" w:rsidRPr="008C7DBC" w:rsidRDefault="008C7DBC" w:rsidP="008C7DBC">
      <w:pPr>
        <w:autoSpaceDE w:val="0"/>
        <w:autoSpaceDN w:val="0"/>
        <w:adjustRightInd w:val="0"/>
      </w:pPr>
      <w:bookmarkStart w:id="0" w:name="_GoBack"/>
      <w:bookmarkEnd w:id="0"/>
    </w:p>
    <w:p w:rsidR="008C7DBC" w:rsidRPr="008C7DBC" w:rsidRDefault="008C7DBC" w:rsidP="008C7DBC">
      <w:pPr>
        <w:autoSpaceDE w:val="0"/>
        <w:autoSpaceDN w:val="0"/>
        <w:adjustRightInd w:val="0"/>
        <w:rPr>
          <w:b/>
        </w:rPr>
      </w:pPr>
      <w:r w:rsidRPr="008C7DBC">
        <w:rPr>
          <w:b/>
        </w:rPr>
        <w:t>Section 211.2825  Heat-Resistant Coating</w:t>
      </w:r>
    </w:p>
    <w:p w:rsidR="008C7DBC" w:rsidRPr="008C7DBC" w:rsidRDefault="008C7DBC" w:rsidP="008C7DBC">
      <w:pPr>
        <w:autoSpaceDE w:val="0"/>
        <w:autoSpaceDN w:val="0"/>
        <w:adjustRightInd w:val="0"/>
      </w:pPr>
    </w:p>
    <w:p w:rsidR="008C7DBC" w:rsidRPr="008C7DBC" w:rsidRDefault="008C7DBC" w:rsidP="008C7DBC">
      <w:pPr>
        <w:autoSpaceDE w:val="0"/>
        <w:autoSpaceDN w:val="0"/>
        <w:adjustRightInd w:val="0"/>
        <w:ind w:left="1440"/>
      </w:pPr>
      <w:r>
        <w:t>"</w:t>
      </w:r>
      <w:r w:rsidRPr="008C7DBC">
        <w:t>Heat-resistant coating</w:t>
      </w:r>
      <w:r>
        <w:t>"</w:t>
      </w:r>
      <w:r w:rsidRPr="008C7DBC">
        <w:t xml:space="preserve"> means, for purposes of 35 </w:t>
      </w:r>
      <w:smartTag w:uri="urn:schemas-microsoft-com:office:smarttags" w:element="place">
        <w:smartTag w:uri="urn:schemas-microsoft-com:office:smarttags" w:element="State">
          <w:r w:rsidRPr="008C7DBC">
            <w:t>Ill.</w:t>
          </w:r>
        </w:smartTag>
      </w:smartTag>
      <w:r w:rsidRPr="008C7DBC">
        <w:t xml:space="preserve"> Adm. Code 218 and 219, a coating that must withstand a temperature of at least 204</w:t>
      </w:r>
      <w:r>
        <w:rPr>
          <w:vertAlign w:val="superscript"/>
        </w:rPr>
        <w:t>o</w:t>
      </w:r>
      <w:r w:rsidRPr="008C7DBC">
        <w:t>C (400</w:t>
      </w:r>
      <w:r>
        <w:rPr>
          <w:vertAlign w:val="superscript"/>
        </w:rPr>
        <w:t>o</w:t>
      </w:r>
      <w:r w:rsidRPr="008C7DBC">
        <w:t>F) during normal use.</w:t>
      </w:r>
    </w:p>
    <w:p w:rsidR="001C71C2" w:rsidRDefault="001C71C2" w:rsidP="00573770"/>
    <w:p w:rsidR="008C7DBC" w:rsidRPr="00D55B37" w:rsidRDefault="008C7DBC">
      <w:pPr>
        <w:pStyle w:val="JCARSourceNote"/>
        <w:ind w:left="720"/>
      </w:pPr>
      <w:r w:rsidRPr="00D55B37">
        <w:t xml:space="preserve">(Source:  Added at </w:t>
      </w:r>
      <w:r>
        <w:t>34</w:t>
      </w:r>
      <w:r w:rsidRPr="00D55B37">
        <w:t xml:space="preserve"> Ill. Reg. </w:t>
      </w:r>
      <w:r w:rsidR="000661C0">
        <w:t>1411</w:t>
      </w:r>
      <w:r w:rsidR="00B26001">
        <w:t>9</w:t>
      </w:r>
      <w:r w:rsidRPr="00D55B37">
        <w:t xml:space="preserve">, effective </w:t>
      </w:r>
      <w:r w:rsidR="000661C0">
        <w:t>September 14, 2010</w:t>
      </w:r>
      <w:r w:rsidRPr="00D55B37">
        <w:t>)</w:t>
      </w:r>
    </w:p>
    <w:sectPr w:rsidR="008C7DBC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F8A" w:rsidRDefault="00724F8A">
      <w:r>
        <w:separator/>
      </w:r>
    </w:p>
  </w:endnote>
  <w:endnote w:type="continuationSeparator" w:id="0">
    <w:p w:rsidR="00724F8A" w:rsidRDefault="00724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F8A" w:rsidRDefault="00724F8A">
      <w:r>
        <w:separator/>
      </w:r>
    </w:p>
  </w:footnote>
  <w:footnote w:type="continuationSeparator" w:id="0">
    <w:p w:rsidR="00724F8A" w:rsidRDefault="00724F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504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61C0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B6B44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96FEF"/>
    <w:rsid w:val="005A2494"/>
    <w:rsid w:val="005A73F7"/>
    <w:rsid w:val="005B1090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4F8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04F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C7DBC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3A83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1A7F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26001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7755C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E5C31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7DBC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7DBC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