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5C" w:rsidRPr="00B60D5C" w:rsidRDefault="00B60D5C" w:rsidP="00B60D5C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B60D5C" w:rsidRPr="00B60D5C" w:rsidRDefault="00B60D5C" w:rsidP="00B60D5C">
      <w:pPr>
        <w:autoSpaceDE w:val="0"/>
        <w:autoSpaceDN w:val="0"/>
        <w:adjustRightInd w:val="0"/>
        <w:rPr>
          <w:rFonts w:eastAsia="TimesNewRoman"/>
          <w:b/>
        </w:rPr>
      </w:pPr>
      <w:r w:rsidRPr="00B60D5C">
        <w:rPr>
          <w:b/>
        </w:rPr>
        <w:t xml:space="preserve">Section 211.1455  </w:t>
      </w:r>
      <w:r w:rsidRPr="00B60D5C">
        <w:rPr>
          <w:b/>
          <w:bCs/>
        </w:rPr>
        <w:t>Contact Adhesive</w:t>
      </w:r>
    </w:p>
    <w:p w:rsidR="00B60D5C" w:rsidRPr="00B60D5C" w:rsidRDefault="00B60D5C" w:rsidP="00B60D5C">
      <w:pPr>
        <w:autoSpaceDE w:val="0"/>
        <w:autoSpaceDN w:val="0"/>
        <w:adjustRightInd w:val="0"/>
        <w:rPr>
          <w:rFonts w:eastAsia="TimesNewRoman"/>
        </w:rPr>
      </w:pPr>
    </w:p>
    <w:p w:rsidR="00B60D5C" w:rsidRPr="00B60D5C" w:rsidRDefault="00B60D5C" w:rsidP="00B60D5C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B60D5C">
        <w:rPr>
          <w:bCs/>
        </w:rPr>
        <w:t>Contact adhesive</w:t>
      </w:r>
      <w:r>
        <w:rPr>
          <w:bCs/>
        </w:rPr>
        <w:t>"</w:t>
      </w:r>
      <w:r w:rsidRPr="00B60D5C">
        <w:rPr>
          <w:bCs/>
        </w:rPr>
        <w:t xml:space="preserve"> </w:t>
      </w:r>
      <w:r w:rsidRPr="00B60D5C">
        <w:rPr>
          <w:rFonts w:eastAsia="TimesNewRoman"/>
        </w:rPr>
        <w:t xml:space="preserve">means, for purposes of 35 </w:t>
      </w:r>
      <w:smartTag w:uri="urn:schemas-microsoft-com:office:smarttags" w:element="place">
        <w:smartTag w:uri="urn:schemas-microsoft-com:office:smarttags" w:element="State">
          <w:r w:rsidRPr="00B60D5C">
            <w:rPr>
              <w:rFonts w:eastAsia="TimesNewRoman"/>
            </w:rPr>
            <w:t>Ill.</w:t>
          </w:r>
        </w:smartTag>
      </w:smartTag>
      <w:r w:rsidRPr="00B60D5C">
        <w:rPr>
          <w:rFonts w:eastAsia="TimesNewRoman"/>
        </w:rPr>
        <w:t xml:space="preserve"> Adm. Code 218 and 219, an adhesive that meets the criteria</w:t>
      </w:r>
      <w:r w:rsidR="008161FD">
        <w:rPr>
          <w:rFonts w:eastAsia="TimesNewRoman"/>
        </w:rPr>
        <w:t xml:space="preserve"> in this Section</w:t>
      </w:r>
      <w:r w:rsidRPr="00B60D5C">
        <w:rPr>
          <w:rFonts w:eastAsia="TimesNewRoman"/>
        </w:rPr>
        <w:t xml:space="preserve">.  </w:t>
      </w:r>
      <w:r>
        <w:rPr>
          <w:rFonts w:eastAsia="TimesNewRoman"/>
        </w:rPr>
        <w:t>"</w:t>
      </w:r>
      <w:r w:rsidRPr="00B60D5C">
        <w:rPr>
          <w:iCs/>
        </w:rPr>
        <w:t>Contact adhesive</w:t>
      </w:r>
      <w:r>
        <w:rPr>
          <w:iCs/>
        </w:rPr>
        <w:t>"</w:t>
      </w:r>
      <w:r w:rsidRPr="00B60D5C">
        <w:rPr>
          <w:iCs/>
        </w:rPr>
        <w:t xml:space="preserve"> </w:t>
      </w:r>
      <w:r w:rsidRPr="00B60D5C">
        <w:rPr>
          <w:rFonts w:eastAsia="TimesNewRoman"/>
        </w:rPr>
        <w:t>does not include rubber cements that are primarily intended for use on paper substrates or vulcanizing fluids that are designed and labeled for tire repair only.</w:t>
      </w:r>
      <w:r w:rsidR="008161FD">
        <w:rPr>
          <w:rFonts w:eastAsia="TimesNewRoman"/>
        </w:rPr>
        <w:t xml:space="preserve">  The qualifying criteria are:</w:t>
      </w:r>
    </w:p>
    <w:p w:rsidR="00B60D5C" w:rsidRPr="00B60D5C" w:rsidRDefault="00B60D5C" w:rsidP="00B60D5C">
      <w:pPr>
        <w:autoSpaceDE w:val="0"/>
        <w:autoSpaceDN w:val="0"/>
        <w:adjustRightInd w:val="0"/>
        <w:rPr>
          <w:rFonts w:eastAsia="TimesNewRoman"/>
        </w:rPr>
      </w:pPr>
    </w:p>
    <w:p w:rsidR="00B60D5C" w:rsidRPr="00B60D5C" w:rsidRDefault="00B60D5C" w:rsidP="008161FD">
      <w:pPr>
        <w:ind w:left="2160"/>
        <w:rPr>
          <w:rFonts w:eastAsia="TimesNewRoman"/>
        </w:rPr>
      </w:pPr>
      <w:r w:rsidRPr="00B60D5C">
        <w:rPr>
          <w:rFonts w:eastAsia="TimesNewRoman"/>
        </w:rPr>
        <w:t>The adhesive is designed for application to both surfaces to be bonded together;</w:t>
      </w:r>
    </w:p>
    <w:p w:rsidR="00B60D5C" w:rsidRPr="00B60D5C" w:rsidRDefault="00B60D5C" w:rsidP="00B60D5C">
      <w:pPr>
        <w:rPr>
          <w:rFonts w:eastAsia="TimesNewRoman"/>
        </w:rPr>
      </w:pPr>
    </w:p>
    <w:p w:rsidR="00B60D5C" w:rsidRPr="00B60D5C" w:rsidRDefault="00B60D5C" w:rsidP="008161FD">
      <w:pPr>
        <w:ind w:left="2160"/>
        <w:rPr>
          <w:rFonts w:eastAsia="TimesNewRoman"/>
        </w:rPr>
      </w:pPr>
      <w:r w:rsidRPr="00B60D5C">
        <w:rPr>
          <w:rFonts w:eastAsia="TimesNewRoman"/>
        </w:rPr>
        <w:t>The adhesive is allowed to dry before the two surfaces are placed in contact with each other;</w:t>
      </w:r>
    </w:p>
    <w:p w:rsidR="00B60D5C" w:rsidRPr="00B60D5C" w:rsidRDefault="00B60D5C" w:rsidP="00B60D5C">
      <w:pPr>
        <w:rPr>
          <w:rFonts w:eastAsia="TimesNewRoman"/>
        </w:rPr>
      </w:pPr>
    </w:p>
    <w:p w:rsidR="00B60D5C" w:rsidRPr="00B60D5C" w:rsidRDefault="00B60D5C" w:rsidP="008161FD">
      <w:pPr>
        <w:ind w:left="2160"/>
        <w:rPr>
          <w:rFonts w:eastAsia="TimesNewRoman"/>
        </w:rPr>
      </w:pPr>
      <w:r w:rsidRPr="00B60D5C">
        <w:rPr>
          <w:rFonts w:eastAsia="TimesNewRoman"/>
        </w:rPr>
        <w:t xml:space="preserve">The adhesive forms an immediate bond that is impossible, or difficult, to reposition after both adhesive-coated surfaces are placed in contact with each other; and </w:t>
      </w:r>
    </w:p>
    <w:p w:rsidR="00B60D5C" w:rsidRPr="00B60D5C" w:rsidRDefault="00B60D5C" w:rsidP="00B60D5C">
      <w:pPr>
        <w:rPr>
          <w:rFonts w:eastAsia="TimesNewRoman"/>
        </w:rPr>
      </w:pPr>
    </w:p>
    <w:p w:rsidR="00B60D5C" w:rsidRPr="00B60D5C" w:rsidRDefault="00B60D5C" w:rsidP="008161FD">
      <w:pPr>
        <w:ind w:left="2160"/>
        <w:rPr>
          <w:rFonts w:eastAsia="TimesNewRoman"/>
        </w:rPr>
      </w:pPr>
      <w:r w:rsidRPr="00B60D5C">
        <w:rPr>
          <w:rFonts w:eastAsia="TimesNewRoman"/>
        </w:rPr>
        <w:t xml:space="preserve">The adhesive does not need sustained pressure or clamping of surfaces after the adhesive-coated surfaces have been brought together using sufficient momentary pressure to establish full contact between both surfaces. </w:t>
      </w:r>
    </w:p>
    <w:p w:rsidR="00B60D5C" w:rsidRPr="00B60D5C" w:rsidRDefault="00B60D5C" w:rsidP="00B60D5C"/>
    <w:p w:rsidR="00B60D5C" w:rsidRPr="00D55B37" w:rsidRDefault="00B60D5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CF380B">
        <w:t>1411</w:t>
      </w:r>
      <w:r w:rsidR="00DF0AC1">
        <w:t>9</w:t>
      </w:r>
      <w:r w:rsidRPr="00D55B37">
        <w:t xml:space="preserve">, effective </w:t>
      </w:r>
      <w:r w:rsidR="00CF380B">
        <w:t>September 14, 2010</w:t>
      </w:r>
      <w:r w:rsidRPr="00D55B37">
        <w:t>)</w:t>
      </w:r>
    </w:p>
    <w:sectPr w:rsidR="00B60D5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DF" w:rsidRDefault="00E963DF">
      <w:r>
        <w:separator/>
      </w:r>
    </w:p>
  </w:endnote>
  <w:endnote w:type="continuationSeparator" w:id="0">
    <w:p w:rsidR="00E963DF" w:rsidRDefault="00E9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DF" w:rsidRDefault="00E963DF">
      <w:r>
        <w:separator/>
      </w:r>
    </w:p>
  </w:footnote>
  <w:footnote w:type="continuationSeparator" w:id="0">
    <w:p w:rsidR="00E963DF" w:rsidRDefault="00E9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B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7A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1F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2D6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453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D5C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AA7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BD1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3A1"/>
    <w:rsid w:val="00CF380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AC1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3DF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DD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5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0D5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