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48" w:rsidRPr="00B54948" w:rsidRDefault="00B54948" w:rsidP="00B54948">
      <w:pPr>
        <w:rPr>
          <w:rFonts w:ascii="Times New Roman" w:hAnsi="Times New Roman"/>
          <w:szCs w:val="24"/>
        </w:rPr>
      </w:pPr>
    </w:p>
    <w:p w:rsidR="00B54948" w:rsidRPr="00B54948" w:rsidRDefault="00B54948" w:rsidP="00B54948">
      <w:pPr>
        <w:rPr>
          <w:rFonts w:ascii="Times New Roman" w:hAnsi="Times New Roman"/>
          <w:b/>
          <w:szCs w:val="24"/>
        </w:rPr>
      </w:pPr>
      <w:r w:rsidRPr="00B54948">
        <w:rPr>
          <w:rFonts w:ascii="Times New Roman" w:hAnsi="Times New Roman"/>
          <w:b/>
          <w:szCs w:val="24"/>
        </w:rPr>
        <w:t>Section 211.1326  Commercial Exterior Aerodynamic Structure Primer</w:t>
      </w:r>
    </w:p>
    <w:p w:rsidR="00B54948" w:rsidRPr="00B54948" w:rsidRDefault="00B54948" w:rsidP="00B54948">
      <w:pPr>
        <w:rPr>
          <w:rFonts w:ascii="Times New Roman" w:hAnsi="Times New Roman"/>
          <w:szCs w:val="24"/>
        </w:rPr>
      </w:pPr>
    </w:p>
    <w:p w:rsidR="00B54948" w:rsidRPr="00B54948" w:rsidRDefault="00B54948" w:rsidP="00B54948">
      <w:pPr>
        <w:rPr>
          <w:rFonts w:ascii="Times New Roman" w:eastAsiaTheme="minorHAnsi" w:hAnsi="Times New Roman"/>
          <w:szCs w:val="24"/>
        </w:rPr>
      </w:pPr>
      <w:r w:rsidRPr="00B54948">
        <w:rPr>
          <w:rFonts w:ascii="Times New Roman" w:eastAsiaTheme="minorHAnsi" w:hAnsi="Times New Roman"/>
          <w:szCs w:val="24"/>
        </w:rPr>
        <w:t>"Commercial exterior aerodynamic structure primer" means a primer used on aerodynamic components and structures that protrude from the fuselage, such as wings and attached components, control surfaces, horizontal stabilizers, vertical fins, wing-to-body fairings, antennae, and landing gear and doors, for the purpose of extended corrosion protection and</w:t>
      </w:r>
    </w:p>
    <w:p w:rsidR="00B54948" w:rsidRPr="00B54948" w:rsidRDefault="00B54948" w:rsidP="00B54948">
      <w:pPr>
        <w:rPr>
          <w:rFonts w:ascii="Times New Roman" w:eastAsiaTheme="minorHAnsi" w:hAnsi="Times New Roman"/>
          <w:szCs w:val="24"/>
        </w:rPr>
      </w:pPr>
      <w:r w:rsidRPr="00B54948">
        <w:rPr>
          <w:rFonts w:ascii="Times New Roman" w:eastAsiaTheme="minorHAnsi" w:hAnsi="Times New Roman"/>
          <w:szCs w:val="24"/>
        </w:rPr>
        <w:t>enhanced adhesion.</w:t>
      </w:r>
    </w:p>
    <w:p w:rsidR="00B54948" w:rsidRPr="00B54948" w:rsidRDefault="00B54948" w:rsidP="00B54948">
      <w:pPr>
        <w:rPr>
          <w:rFonts w:ascii="Times New Roman" w:eastAsiaTheme="minorHAnsi" w:hAnsi="Times New Roman"/>
          <w:szCs w:val="24"/>
        </w:rPr>
      </w:pPr>
    </w:p>
    <w:p w:rsidR="000019F7" w:rsidRDefault="000019F7" w:rsidP="000019F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423C5D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423C5D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0019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71" w:rsidRDefault="00F73071">
      <w:r>
        <w:separator/>
      </w:r>
    </w:p>
  </w:endnote>
  <w:endnote w:type="continuationSeparator" w:id="0">
    <w:p w:rsidR="00F73071" w:rsidRDefault="00F7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71" w:rsidRDefault="00F73071">
      <w:r>
        <w:separator/>
      </w:r>
    </w:p>
  </w:footnote>
  <w:footnote w:type="continuationSeparator" w:id="0">
    <w:p w:rsidR="00F73071" w:rsidRDefault="00F7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71"/>
    <w:rsid w:val="00000AED"/>
    <w:rsid w:val="000019F7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5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C81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94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07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961C3-9CC8-4925-972E-E76445CD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948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