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64" w:rsidRPr="00F36E64" w:rsidRDefault="00F36E64" w:rsidP="00F36E64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F36E64" w:rsidRPr="00F36E64" w:rsidRDefault="00F36E64" w:rsidP="00F36E64">
      <w:pPr>
        <w:autoSpaceDE w:val="0"/>
        <w:autoSpaceDN w:val="0"/>
        <w:adjustRightInd w:val="0"/>
        <w:rPr>
          <w:rFonts w:eastAsia="TimesNewRoman"/>
          <w:b/>
        </w:rPr>
      </w:pPr>
      <w:r w:rsidRPr="00F36E64">
        <w:rPr>
          <w:rFonts w:eastAsia="TimesNewRoman"/>
          <w:b/>
        </w:rPr>
        <w:t>Section 211.715  Bedliner</w:t>
      </w:r>
    </w:p>
    <w:p w:rsidR="00F36E64" w:rsidRPr="00F36E64" w:rsidRDefault="00F36E64" w:rsidP="00F36E64">
      <w:pPr>
        <w:autoSpaceDE w:val="0"/>
        <w:autoSpaceDN w:val="0"/>
        <w:adjustRightInd w:val="0"/>
        <w:rPr>
          <w:rFonts w:eastAsia="TimesNewRoman"/>
        </w:rPr>
      </w:pPr>
    </w:p>
    <w:p w:rsidR="00F36E64" w:rsidRPr="00F36E64" w:rsidRDefault="00F36E64" w:rsidP="00F36E64">
      <w:pPr>
        <w:autoSpaceDE w:val="0"/>
        <w:autoSpaceDN w:val="0"/>
        <w:adjustRightInd w:val="0"/>
        <w:ind w:left="1440"/>
      </w:pPr>
      <w:r>
        <w:rPr>
          <w:rFonts w:eastAsia="TimesNewRoman"/>
        </w:rPr>
        <w:t>"</w:t>
      </w:r>
      <w:r w:rsidRPr="00F36E64">
        <w:rPr>
          <w:rFonts w:eastAsia="TimesNewRoman"/>
        </w:rPr>
        <w:t>Bedliner</w:t>
      </w:r>
      <w:r>
        <w:rPr>
          <w:rFonts w:eastAsia="TimesNewRoman"/>
        </w:rPr>
        <w:t>"</w:t>
      </w:r>
      <w:r w:rsidRPr="00F36E64">
        <w:rPr>
          <w:rFonts w:eastAsia="TimesNewRoman"/>
        </w:rPr>
        <w:t xml:space="preserve"> means, f</w:t>
      </w:r>
      <w:r w:rsidRPr="00F36E64">
        <w:t>or purposes of 35 Ill. Adm. Code 218 and 219, a multi-component coating applied to a cargo bed after the application of topcoat and outside of the topcoat operation to provide additional durability and chip resistance.</w:t>
      </w:r>
    </w:p>
    <w:p w:rsidR="00F36E64" w:rsidRPr="00F36E64" w:rsidRDefault="00F36E64" w:rsidP="00F36E64"/>
    <w:p w:rsidR="00F36E64" w:rsidRPr="00D55B37" w:rsidRDefault="00F36E64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548E8">
        <w:t>1411</w:t>
      </w:r>
      <w:r w:rsidR="00CE0C5F">
        <w:t>9</w:t>
      </w:r>
      <w:r w:rsidRPr="00D55B37">
        <w:t xml:space="preserve">, effective </w:t>
      </w:r>
      <w:r w:rsidR="001548E8">
        <w:t>September 14, 2010</w:t>
      </w:r>
      <w:r w:rsidRPr="00D55B37">
        <w:t>)</w:t>
      </w:r>
    </w:p>
    <w:sectPr w:rsidR="00F36E6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54" w:rsidRDefault="00152C54">
      <w:r>
        <w:separator/>
      </w:r>
    </w:p>
  </w:endnote>
  <w:endnote w:type="continuationSeparator" w:id="0">
    <w:p w:rsidR="00152C54" w:rsidRDefault="0015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54" w:rsidRDefault="00152C54">
      <w:r>
        <w:separator/>
      </w:r>
    </w:p>
  </w:footnote>
  <w:footnote w:type="continuationSeparator" w:id="0">
    <w:p w:rsidR="00152C54" w:rsidRDefault="00152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F2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8A6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C54"/>
    <w:rsid w:val="00153DEA"/>
    <w:rsid w:val="001548E8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19AD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6EB8"/>
    <w:rsid w:val="003B419A"/>
    <w:rsid w:val="003B5138"/>
    <w:rsid w:val="003B78C5"/>
    <w:rsid w:val="003C07D2"/>
    <w:rsid w:val="003C440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3EB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F23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5D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C5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709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E6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E6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E6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