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B1" w:rsidRDefault="00286FB1" w:rsidP="00286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FB1" w:rsidRDefault="00286FB1" w:rsidP="00286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211.484  Animal</w:t>
      </w:r>
      <w:r>
        <w:t xml:space="preserve"> </w:t>
      </w:r>
    </w:p>
    <w:p w:rsidR="00286FB1" w:rsidRDefault="00286FB1" w:rsidP="00286FB1">
      <w:pPr>
        <w:widowControl w:val="0"/>
        <w:autoSpaceDE w:val="0"/>
        <w:autoSpaceDN w:val="0"/>
        <w:adjustRightInd w:val="0"/>
      </w:pPr>
    </w:p>
    <w:p w:rsidR="00286FB1" w:rsidRDefault="00286FB1" w:rsidP="00286FB1">
      <w:pPr>
        <w:widowControl w:val="0"/>
        <w:autoSpaceDE w:val="0"/>
        <w:autoSpaceDN w:val="0"/>
        <w:adjustRightInd w:val="0"/>
      </w:pPr>
      <w:r>
        <w:t xml:space="preserve">"Animal" means any organism other than a human being of the kingdom, </w:t>
      </w:r>
      <w:proofErr w:type="spellStart"/>
      <w:r>
        <w:t>Animalia</w:t>
      </w:r>
      <w:proofErr w:type="spellEnd"/>
      <w:r>
        <w:t xml:space="preserve">, distinguished from other multicellular organisms by certain typical characteristics such as the power of locomotion, fixed structure and limited growth, and non-photosynthetic metabolism. </w:t>
      </w:r>
    </w:p>
    <w:p w:rsidR="00286FB1" w:rsidRDefault="00286FB1" w:rsidP="00286FB1">
      <w:pPr>
        <w:widowControl w:val="0"/>
        <w:autoSpaceDE w:val="0"/>
        <w:autoSpaceDN w:val="0"/>
        <w:adjustRightInd w:val="0"/>
      </w:pPr>
    </w:p>
    <w:p w:rsidR="00286FB1" w:rsidRDefault="00286FB1" w:rsidP="00286F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7590, effective May 22, 1996) </w:t>
      </w:r>
    </w:p>
    <w:sectPr w:rsidR="00286FB1" w:rsidSect="00286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FB1"/>
    <w:rsid w:val="00286FB1"/>
    <w:rsid w:val="00410607"/>
    <w:rsid w:val="005C3366"/>
    <w:rsid w:val="00DB58CB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