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57B" w:rsidRDefault="00A7257B" w:rsidP="00A725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257B" w:rsidRDefault="00A7257B" w:rsidP="00A7257B">
      <w:pPr>
        <w:widowControl w:val="0"/>
        <w:autoSpaceDE w:val="0"/>
        <w:autoSpaceDN w:val="0"/>
        <w:adjustRightInd w:val="0"/>
      </w:pPr>
      <w:r>
        <w:t xml:space="preserve">SOURCE:  Adopted in R00-16 at 24 Ill. Reg. 8979, effective June 14, 2000. </w:t>
      </w:r>
      <w:r>
        <w:tab/>
      </w:r>
    </w:p>
    <w:sectPr w:rsidR="00A7257B" w:rsidSect="00A725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257B"/>
    <w:rsid w:val="00256765"/>
    <w:rsid w:val="005C3366"/>
    <w:rsid w:val="006365FE"/>
    <w:rsid w:val="00A7257B"/>
    <w:rsid w:val="00E6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R00-16 at 24 Ill</vt:lpstr>
    </vt:vector>
  </TitlesOfParts>
  <Company>State of Illinois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R00-16 at 24 Ill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