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1E" w:rsidRDefault="00D16C1E" w:rsidP="00D16C1E">
      <w:pPr>
        <w:widowControl w:val="0"/>
        <w:autoSpaceDE w:val="0"/>
        <w:autoSpaceDN w:val="0"/>
        <w:adjustRightInd w:val="0"/>
      </w:pPr>
      <w:bookmarkStart w:id="0" w:name="_GoBack"/>
      <w:bookmarkEnd w:id="0"/>
    </w:p>
    <w:p w:rsidR="00D16C1E" w:rsidRDefault="00D16C1E" w:rsidP="00D16C1E">
      <w:pPr>
        <w:widowControl w:val="0"/>
        <w:autoSpaceDE w:val="0"/>
        <w:autoSpaceDN w:val="0"/>
        <w:adjustRightInd w:val="0"/>
      </w:pPr>
      <w:r>
        <w:rPr>
          <w:b/>
          <w:bCs/>
        </w:rPr>
        <w:t>Section 205.410  Participating Source Shutdowns</w:t>
      </w:r>
      <w:r>
        <w:t xml:space="preserve"> </w:t>
      </w:r>
    </w:p>
    <w:p w:rsidR="00D16C1E" w:rsidRDefault="00D16C1E" w:rsidP="00D16C1E">
      <w:pPr>
        <w:widowControl w:val="0"/>
        <w:autoSpaceDE w:val="0"/>
        <w:autoSpaceDN w:val="0"/>
        <w:adjustRightInd w:val="0"/>
      </w:pPr>
    </w:p>
    <w:p w:rsidR="00D16C1E" w:rsidRDefault="00D16C1E" w:rsidP="00D16C1E">
      <w:pPr>
        <w:widowControl w:val="0"/>
        <w:autoSpaceDE w:val="0"/>
        <w:autoSpaceDN w:val="0"/>
        <w:adjustRightInd w:val="0"/>
        <w:ind w:left="1440" w:hanging="720"/>
      </w:pPr>
      <w:r>
        <w:t>a)</w:t>
      </w:r>
      <w:r>
        <w:tab/>
        <w:t xml:space="preserve">If a participating source shuts down all operations at the source, and withdraws its permit or its permit is revoked or terminates, allotments issued to such a source for each seasonal allotment period after the shutdown occurred shall be subject to the following: </w:t>
      </w:r>
    </w:p>
    <w:p w:rsidR="008B07F5" w:rsidRDefault="008B07F5" w:rsidP="00D16C1E">
      <w:pPr>
        <w:widowControl w:val="0"/>
        <w:autoSpaceDE w:val="0"/>
        <w:autoSpaceDN w:val="0"/>
        <w:adjustRightInd w:val="0"/>
        <w:ind w:left="2160" w:hanging="720"/>
      </w:pPr>
    </w:p>
    <w:p w:rsidR="00D16C1E" w:rsidRDefault="00D16C1E" w:rsidP="00D16C1E">
      <w:pPr>
        <w:widowControl w:val="0"/>
        <w:autoSpaceDE w:val="0"/>
        <w:autoSpaceDN w:val="0"/>
        <w:adjustRightInd w:val="0"/>
        <w:ind w:left="2160" w:hanging="720"/>
      </w:pPr>
      <w:r>
        <w:t>1)</w:t>
      </w:r>
      <w:r>
        <w:tab/>
        <w:t xml:space="preserve">80 percent of all such ATUs shall continue to be allotted to the owner or operator of such source or its duly authorized recipient; and </w:t>
      </w:r>
    </w:p>
    <w:p w:rsidR="008B07F5" w:rsidRDefault="008B07F5" w:rsidP="00D16C1E">
      <w:pPr>
        <w:widowControl w:val="0"/>
        <w:autoSpaceDE w:val="0"/>
        <w:autoSpaceDN w:val="0"/>
        <w:adjustRightInd w:val="0"/>
        <w:ind w:left="2160" w:hanging="720"/>
      </w:pPr>
    </w:p>
    <w:p w:rsidR="00D16C1E" w:rsidRDefault="00D16C1E" w:rsidP="00D16C1E">
      <w:pPr>
        <w:widowControl w:val="0"/>
        <w:autoSpaceDE w:val="0"/>
        <w:autoSpaceDN w:val="0"/>
        <w:adjustRightInd w:val="0"/>
        <w:ind w:left="2160" w:hanging="720"/>
      </w:pPr>
      <w:r>
        <w:t>2)</w:t>
      </w:r>
      <w:r>
        <w:tab/>
        <w:t xml:space="preserve">20 percent of all such ATUs shall be issued to the ACMA. </w:t>
      </w:r>
    </w:p>
    <w:p w:rsidR="008B07F5" w:rsidRDefault="008B07F5" w:rsidP="00D16C1E">
      <w:pPr>
        <w:widowControl w:val="0"/>
        <w:autoSpaceDE w:val="0"/>
        <w:autoSpaceDN w:val="0"/>
        <w:adjustRightInd w:val="0"/>
        <w:ind w:left="1440" w:hanging="720"/>
      </w:pPr>
    </w:p>
    <w:p w:rsidR="00D16C1E" w:rsidRDefault="00D16C1E" w:rsidP="00D16C1E">
      <w:pPr>
        <w:widowControl w:val="0"/>
        <w:autoSpaceDE w:val="0"/>
        <w:autoSpaceDN w:val="0"/>
        <w:adjustRightInd w:val="0"/>
        <w:ind w:left="1440" w:hanging="720"/>
      </w:pPr>
      <w:r>
        <w:t>b)</w:t>
      </w:r>
      <w:r>
        <w:tab/>
        <w:t xml:space="preserve">Except as provided in subsection (c) of this Section, the owner or operator of any participating source that shuts down all operations, in accordance with subsection (a) of this Section, shall submit a written request to have its status changed to a general participant, upon withdrawal, revocation or termination of its permit. </w:t>
      </w:r>
    </w:p>
    <w:p w:rsidR="008B07F5" w:rsidRDefault="008B07F5" w:rsidP="00D16C1E">
      <w:pPr>
        <w:widowControl w:val="0"/>
        <w:autoSpaceDE w:val="0"/>
        <w:autoSpaceDN w:val="0"/>
        <w:adjustRightInd w:val="0"/>
        <w:ind w:left="1440" w:hanging="720"/>
      </w:pPr>
    </w:p>
    <w:p w:rsidR="00D16C1E" w:rsidRDefault="00D16C1E" w:rsidP="00D16C1E">
      <w:pPr>
        <w:widowControl w:val="0"/>
        <w:autoSpaceDE w:val="0"/>
        <w:autoSpaceDN w:val="0"/>
        <w:adjustRightInd w:val="0"/>
        <w:ind w:left="1440" w:hanging="720"/>
      </w:pPr>
      <w:r>
        <w:t>c)</w:t>
      </w:r>
      <w:r>
        <w:tab/>
        <w:t xml:space="preserve">The owner or operator of any participating source that shuts down all operations, in accordance with subsection (a) of this Section, may authorize the issuance of future ATUs to the Transaction Account of another participating source, new participating source or general participant by submitting a transfer agreement authorizing a permanent transfer of all future ATUs. The CAAPP permit </w:t>
      </w:r>
      <w:r w:rsidR="00E62910">
        <w:t xml:space="preserve">or FESOP </w:t>
      </w:r>
      <w:r>
        <w:t xml:space="preserve">of any participating source or new participating source designated to receive future allotments of ATUs pursuant to such a transfer agreement shall be modified to reflect this transfer upon reopening or renewal.  Any ATUs issued pursuant to a transfer agreement entered into under this subsection before shut down of all operations of the participating source shall not be subject to subsection (a) of this Section. </w:t>
      </w:r>
    </w:p>
    <w:p w:rsidR="00E62910" w:rsidRDefault="00E62910" w:rsidP="00D16C1E">
      <w:pPr>
        <w:widowControl w:val="0"/>
        <w:autoSpaceDE w:val="0"/>
        <w:autoSpaceDN w:val="0"/>
        <w:adjustRightInd w:val="0"/>
        <w:ind w:left="1440" w:hanging="720"/>
      </w:pPr>
    </w:p>
    <w:p w:rsidR="00E62910" w:rsidRPr="00D55B37" w:rsidRDefault="00E62910">
      <w:pPr>
        <w:pStyle w:val="JCARSourceNote"/>
        <w:ind w:left="720"/>
      </w:pPr>
      <w:r w:rsidRPr="00D55B37">
        <w:t xml:space="preserve">(Source:  </w:t>
      </w:r>
      <w:r>
        <w:t>Amended</w:t>
      </w:r>
      <w:r w:rsidRPr="00D55B37">
        <w:t xml:space="preserve"> at 2</w:t>
      </w:r>
      <w:r>
        <w:t>9</w:t>
      </w:r>
      <w:r w:rsidRPr="00D55B37">
        <w:t xml:space="preserve"> Ill. Reg. </w:t>
      </w:r>
      <w:r w:rsidR="00136007">
        <w:t>8848</w:t>
      </w:r>
      <w:r w:rsidRPr="00D55B37">
        <w:t xml:space="preserve">, effective </w:t>
      </w:r>
      <w:r w:rsidR="00136007">
        <w:t>June 13, 2005</w:t>
      </w:r>
      <w:r w:rsidRPr="00D55B37">
        <w:t>)</w:t>
      </w:r>
    </w:p>
    <w:sectPr w:rsidR="00E62910" w:rsidRPr="00D55B37" w:rsidSect="00D16C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6C1E"/>
    <w:rsid w:val="00136007"/>
    <w:rsid w:val="003245D7"/>
    <w:rsid w:val="005C3366"/>
    <w:rsid w:val="008B07F5"/>
    <w:rsid w:val="00D16C1E"/>
    <w:rsid w:val="00D654B3"/>
    <w:rsid w:val="00DD4B4D"/>
    <w:rsid w:val="00E147F4"/>
    <w:rsid w:val="00E62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629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6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