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D6" w:rsidRDefault="009E32D6" w:rsidP="009E32D6"/>
    <w:p w:rsidR="009E32D6" w:rsidRPr="009E32D6" w:rsidRDefault="009E32D6" w:rsidP="009E32D6">
      <w:pPr>
        <w:rPr>
          <w:b/>
        </w:rPr>
      </w:pPr>
      <w:r w:rsidRPr="009E32D6">
        <w:rPr>
          <w:b/>
        </w:rPr>
        <w:t>Section 204.1830  Contents of the PAL Permit</w:t>
      </w:r>
    </w:p>
    <w:p w:rsidR="009E32D6" w:rsidRPr="009E32D6" w:rsidRDefault="009E32D6" w:rsidP="009E32D6"/>
    <w:p w:rsidR="009E32D6" w:rsidRPr="009E32D6" w:rsidRDefault="009E32D6" w:rsidP="009E32D6">
      <w:r w:rsidRPr="009E32D6">
        <w:t xml:space="preserve">The PAL permit </w:t>
      </w:r>
      <w:r w:rsidR="007267F6">
        <w:t>must</w:t>
      </w:r>
      <w:r w:rsidRPr="009E32D6">
        <w:t xml:space="preserve"> contain, at a minimum</w:t>
      </w:r>
      <w:r w:rsidR="0023712D">
        <w:t>:</w:t>
      </w:r>
    </w:p>
    <w:p w:rsidR="009E32D6" w:rsidRPr="009E32D6" w:rsidRDefault="009E32D6" w:rsidP="009E32D6"/>
    <w:p w:rsidR="009E32D6" w:rsidRPr="009E32D6" w:rsidRDefault="009E32D6" w:rsidP="009E32D6">
      <w:pPr>
        <w:ind w:left="1440" w:hanging="720"/>
      </w:pPr>
      <w:r w:rsidRPr="009E32D6">
        <w:t>a)</w:t>
      </w:r>
      <w:r w:rsidRPr="009E32D6">
        <w:tab/>
        <w:t>The PAL pollutant and the applicable source-wide emission limitation in tons per year, or tons per year CO</w:t>
      </w:r>
      <w:r w:rsidRPr="009E32D6">
        <w:rPr>
          <w:vertAlign w:val="subscript"/>
        </w:rPr>
        <w:t>2</w:t>
      </w:r>
      <w:r w:rsidRPr="009E32D6">
        <w:t>e for a GHG PAL.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b)</w:t>
      </w:r>
      <w:r w:rsidRPr="009E32D6">
        <w:tab/>
        <w:t>The PAL permit effective date and the expiration date of the PAL (PAL effective period).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c)</w:t>
      </w:r>
      <w:r w:rsidRPr="009E32D6">
        <w:tab/>
        <w:t xml:space="preserve">Specification in the PAL permit that if a major stationary source owner or operator applies to renew a PAL in accordance with Section 204.1860 before the end of the PAL effective period, then the PAL </w:t>
      </w:r>
      <w:r w:rsidR="007267F6">
        <w:t>shall</w:t>
      </w:r>
      <w:r w:rsidRPr="009E32D6">
        <w:t xml:space="preserve"> not expire at the end of the PAL effective period.  It </w:t>
      </w:r>
      <w:r w:rsidR="00532E69">
        <w:t>shall</w:t>
      </w:r>
      <w:r w:rsidRPr="009E32D6">
        <w:t xml:space="preserve"> remain in effect until a revised PAL permit is issued by the </w:t>
      </w:r>
      <w:r w:rsidR="0023712D">
        <w:t>Agency</w:t>
      </w:r>
      <w:r w:rsidRPr="009E32D6">
        <w:t>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d)</w:t>
      </w:r>
      <w:r w:rsidRPr="009E32D6">
        <w:tab/>
        <w:t xml:space="preserve">A requirement that emission calculations for compliance purposes </w:t>
      </w:r>
      <w:r w:rsidR="007267F6">
        <w:t>must</w:t>
      </w:r>
      <w:r w:rsidRPr="009E32D6">
        <w:t xml:space="preserve"> include emissions from startups, shutdowns, and malfunctions.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e)</w:t>
      </w:r>
      <w:r w:rsidRPr="009E32D6">
        <w:tab/>
        <w:t xml:space="preserve">A requirement that, once the PAL expires, the major stationary source is subject to </w:t>
      </w:r>
      <w:r w:rsidR="00357338">
        <w:t xml:space="preserve">the requirements of </w:t>
      </w:r>
      <w:r w:rsidRPr="009E32D6">
        <w:t>Section 204.1850.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f)</w:t>
      </w:r>
      <w:r w:rsidRPr="009E32D6">
        <w:tab/>
        <w:t xml:space="preserve">The calculation procedures that the major stationary source owner or operator </w:t>
      </w:r>
      <w:r w:rsidR="00357338">
        <w:t>shall</w:t>
      </w:r>
      <w:r w:rsidRPr="009E32D6">
        <w:t xml:space="preserve"> use to convert the monitoring system data to monthly emissions and annual emissions based on a 12-month rolling total as required by Section 204.1890(a).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g)</w:t>
      </w:r>
      <w:r w:rsidRPr="009E32D6">
        <w:tab/>
        <w:t xml:space="preserve">A requirement that the major stationary source owner or operator monitor all emissions units in accordance with </w:t>
      </w:r>
      <w:r w:rsidR="007267F6">
        <w:t xml:space="preserve">the provisions under </w:t>
      </w:r>
      <w:r w:rsidRPr="009E32D6">
        <w:t>Section 204.1880.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h)</w:t>
      </w:r>
      <w:r w:rsidRPr="009E32D6">
        <w:tab/>
        <w:t xml:space="preserve">A requirement to retain the records required </w:t>
      </w:r>
      <w:r w:rsidR="0023712D">
        <w:t>by</w:t>
      </w:r>
      <w:r w:rsidRPr="009E32D6">
        <w:t xml:space="preserve"> Section 204.1890</w:t>
      </w:r>
      <w:r w:rsidR="007267F6">
        <w:t xml:space="preserve"> on site</w:t>
      </w:r>
      <w:r w:rsidRPr="009E32D6">
        <w:t>.</w:t>
      </w:r>
      <w:r>
        <w:t xml:space="preserve"> </w:t>
      </w:r>
      <w:r w:rsidRPr="009E32D6">
        <w:t xml:space="preserve"> </w:t>
      </w:r>
      <w:r w:rsidR="007267F6">
        <w:t>Such</w:t>
      </w:r>
      <w:r w:rsidRPr="009E32D6">
        <w:t xml:space="preserve"> records may be retained in an electronic format.</w:t>
      </w:r>
    </w:p>
    <w:p w:rsidR="009E32D6" w:rsidRPr="009E32D6" w:rsidRDefault="009E32D6" w:rsidP="0056709C"/>
    <w:p w:rsidR="009E32D6" w:rsidRPr="009E32D6" w:rsidRDefault="009E32D6" w:rsidP="009E32D6">
      <w:pPr>
        <w:ind w:left="1440" w:hanging="720"/>
      </w:pPr>
      <w:r w:rsidRPr="009E32D6">
        <w:t>i)</w:t>
      </w:r>
      <w:r w:rsidRPr="009E32D6">
        <w:tab/>
        <w:t xml:space="preserve">A requirement to submit the reports required </w:t>
      </w:r>
      <w:r w:rsidR="0023712D">
        <w:t>by</w:t>
      </w:r>
      <w:r w:rsidRPr="009E32D6">
        <w:t xml:space="preserve"> Section 204.1900 by the required deadlines.</w:t>
      </w:r>
    </w:p>
    <w:p w:rsidR="009E32D6" w:rsidRPr="009E32D6" w:rsidRDefault="009E32D6" w:rsidP="0056709C">
      <w:bookmarkStart w:id="0" w:name="_GoBack"/>
      <w:bookmarkEnd w:id="0"/>
    </w:p>
    <w:p w:rsidR="000174EB" w:rsidRPr="009E32D6" w:rsidRDefault="009E32D6" w:rsidP="009E32D6">
      <w:pPr>
        <w:ind w:left="1440" w:hanging="720"/>
      </w:pPr>
      <w:r w:rsidRPr="009E32D6">
        <w:t>j)</w:t>
      </w:r>
      <w:r w:rsidRPr="009E32D6">
        <w:tab/>
        <w:t xml:space="preserve">Any other requirements that the </w:t>
      </w:r>
      <w:r w:rsidR="0023712D">
        <w:t>Agency</w:t>
      </w:r>
      <w:r w:rsidRPr="009E32D6">
        <w:t xml:space="preserve"> deems necessary to implement and enforce the PAL.</w:t>
      </w:r>
    </w:p>
    <w:sectPr w:rsidR="000174EB" w:rsidRPr="009E32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64" w:rsidRDefault="00F42564">
      <w:r>
        <w:separator/>
      </w:r>
    </w:p>
  </w:endnote>
  <w:endnote w:type="continuationSeparator" w:id="0">
    <w:p w:rsidR="00F42564" w:rsidRDefault="00F4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64" w:rsidRDefault="00F42564">
      <w:r>
        <w:separator/>
      </w:r>
    </w:p>
  </w:footnote>
  <w:footnote w:type="continuationSeparator" w:id="0">
    <w:p w:rsidR="00F42564" w:rsidRDefault="00F4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12D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33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4C6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85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E6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09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7F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2D6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564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0FD6-407F-47BB-BC8C-F8397C71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D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2020-03-09T15:30:00Z</dcterms:created>
  <dcterms:modified xsi:type="dcterms:W3CDTF">2020-09-15T19:22:00Z</dcterms:modified>
</cp:coreProperties>
</file>