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A316C6" w:rsidRDefault="000174EB" w:rsidP="00A316C6"/>
    <w:p w:rsidR="00A316C6" w:rsidRPr="00A316C6" w:rsidRDefault="00A316C6" w:rsidP="00A316C6">
      <w:pPr>
        <w:rPr>
          <w:b/>
        </w:rPr>
      </w:pPr>
      <w:r w:rsidRPr="00A316C6">
        <w:rPr>
          <w:b/>
        </w:rPr>
        <w:t>Section 204.1200  Additional Requirements for Sources Impacting Federal Class I Areas</w:t>
      </w:r>
    </w:p>
    <w:p w:rsidR="00A316C6" w:rsidRPr="00A316C6" w:rsidRDefault="00A316C6" w:rsidP="00A316C6"/>
    <w:p w:rsidR="00A316C6" w:rsidRPr="00A316C6" w:rsidRDefault="00A316C6" w:rsidP="00A316C6">
      <w:pPr>
        <w:ind w:left="1440" w:hanging="720"/>
      </w:pPr>
      <w:r w:rsidRPr="00A316C6">
        <w:t>a)</w:t>
      </w:r>
      <w:r w:rsidRPr="00A316C6">
        <w:tab/>
        <w:t xml:space="preserve">Notice to Federal Land Managers.  The </w:t>
      </w:r>
      <w:r w:rsidR="00FD7452">
        <w:t>Agency shall</w:t>
      </w:r>
      <w:r w:rsidRPr="00A316C6">
        <w:t xml:space="preserve"> provide written notice of any permit application for a proposed major stationary source or major modification, the emissions from which may affect a Class I area, to the Federal Land Manager and the </w:t>
      </w:r>
      <w:r w:rsidR="00FD7452">
        <w:t>f</w:t>
      </w:r>
      <w:r w:rsidRPr="00A316C6">
        <w:t xml:space="preserve">ederal official charged with direct responsibility for management of any lands within any such area.  </w:t>
      </w:r>
      <w:r w:rsidR="00CB1E0E">
        <w:t>Such</w:t>
      </w:r>
      <w:r w:rsidRPr="00A316C6">
        <w:t xml:space="preserve"> notification </w:t>
      </w:r>
      <w:r w:rsidR="0068290C">
        <w:t>shall</w:t>
      </w:r>
      <w:r w:rsidRPr="00A316C6">
        <w:t xml:space="preserve"> include a copy of all information relevant to the permit application and </w:t>
      </w:r>
      <w:r w:rsidR="00FD7452">
        <w:t>shall</w:t>
      </w:r>
      <w:r w:rsidRPr="00A316C6">
        <w:t xml:space="preserve"> be </w:t>
      </w:r>
      <w:r w:rsidR="0068290C">
        <w:t>given</w:t>
      </w:r>
      <w:r w:rsidRPr="00A316C6">
        <w:t xml:space="preserve"> within 30 days </w:t>
      </w:r>
      <w:r w:rsidR="00FD7452">
        <w:t>after</w:t>
      </w:r>
      <w:r w:rsidRPr="00A316C6">
        <w:t xml:space="preserve"> receipt and at least 60 days prior to any public hearing on the application for a permit to construct.  </w:t>
      </w:r>
      <w:r w:rsidR="0068290C">
        <w:t>Such</w:t>
      </w:r>
      <w:r w:rsidRPr="00A316C6">
        <w:t xml:space="preserve"> notification </w:t>
      </w:r>
      <w:r w:rsidR="00FD7452">
        <w:t>shall</w:t>
      </w:r>
      <w:r w:rsidRPr="00A316C6">
        <w:t xml:space="preserve"> include an analysis of the proposed source's anticipated impacts on visibility in the Federal Class I area.  The</w:t>
      </w:r>
      <w:r w:rsidR="00BD75B2">
        <w:t xml:space="preserve"> </w:t>
      </w:r>
      <w:r w:rsidR="00FD7452">
        <w:t>Agency</w:t>
      </w:r>
      <w:r w:rsidRPr="00A316C6">
        <w:t xml:space="preserve"> </w:t>
      </w:r>
      <w:r w:rsidR="00FD7452">
        <w:t>shall</w:t>
      </w:r>
      <w:r w:rsidRPr="00A316C6">
        <w:t xml:space="preserve"> also provide the Federal Land Manager and </w:t>
      </w:r>
      <w:r w:rsidR="0068290C">
        <w:t>such</w:t>
      </w:r>
      <w:r w:rsidR="00FD7452">
        <w:t xml:space="preserve"> f</w:t>
      </w:r>
      <w:r w:rsidRPr="00A316C6">
        <w:t xml:space="preserve">ederal officials with a copy of the preliminary determination required </w:t>
      </w:r>
      <w:r w:rsidR="00FD7452">
        <w:t>by</w:t>
      </w:r>
      <w:r w:rsidRPr="00A316C6">
        <w:t xml:space="preserve"> 35 Ill. Adm. Code 252, and </w:t>
      </w:r>
      <w:r w:rsidR="00FD7452">
        <w:t>shall</w:t>
      </w:r>
      <w:r w:rsidRPr="00A316C6">
        <w:t xml:space="preserve"> make available to them any materials used in making that determination, promptly after the </w:t>
      </w:r>
      <w:r w:rsidR="00FD7452">
        <w:t>Agency</w:t>
      </w:r>
      <w:r w:rsidRPr="00A316C6">
        <w:t xml:space="preserve"> makes </w:t>
      </w:r>
      <w:r w:rsidR="0068290C">
        <w:t>such</w:t>
      </w:r>
      <w:r w:rsidRPr="00A316C6">
        <w:t xml:space="preserve"> determination.  Finally, the </w:t>
      </w:r>
      <w:r w:rsidR="00FD7452">
        <w:t>Agency shall</w:t>
      </w:r>
      <w:r w:rsidRPr="00A316C6">
        <w:t xml:space="preserve"> also notify all affected Federal Land Managers within 30 days </w:t>
      </w:r>
      <w:r w:rsidR="00FD7452">
        <w:t xml:space="preserve">after </w:t>
      </w:r>
      <w:r w:rsidRPr="00A316C6">
        <w:t xml:space="preserve">receipt of any advance notification of any </w:t>
      </w:r>
      <w:r w:rsidR="0068290C">
        <w:t xml:space="preserve">such </w:t>
      </w:r>
      <w:r w:rsidRPr="00A316C6">
        <w:t>permit application.</w:t>
      </w:r>
    </w:p>
    <w:p w:rsidR="00A316C6" w:rsidRPr="00A316C6" w:rsidRDefault="00A316C6" w:rsidP="00952E7F"/>
    <w:p w:rsidR="00A316C6" w:rsidRPr="00A316C6" w:rsidRDefault="00A316C6" w:rsidP="00A316C6">
      <w:pPr>
        <w:ind w:left="1440" w:hanging="720"/>
      </w:pPr>
      <w:r w:rsidRPr="00A316C6">
        <w:t>b)</w:t>
      </w:r>
      <w:r w:rsidRPr="00A316C6">
        <w:tab/>
        <w:t>Federal Land Manager.  Th</w:t>
      </w:r>
      <w:r w:rsidR="00FD7452">
        <w:t>e Federal Land Manager and the f</w:t>
      </w:r>
      <w:r w:rsidRPr="00A316C6">
        <w:t xml:space="preserve">ederal official charged with direct responsibility for management of </w:t>
      </w:r>
      <w:r w:rsidR="0068290C">
        <w:t>such</w:t>
      </w:r>
      <w:r w:rsidRPr="00A316C6">
        <w:t xml:space="preserve"> lands have an affirmative responsibility to protect the air quality related values (including visibility) of </w:t>
      </w:r>
      <w:r w:rsidR="0068290C">
        <w:t>such</w:t>
      </w:r>
      <w:r w:rsidRPr="00A316C6">
        <w:t xml:space="preserve"> lands and to consider, in consultation with the </w:t>
      </w:r>
      <w:r w:rsidR="00FD7452">
        <w:t>Agency</w:t>
      </w:r>
      <w:r w:rsidRPr="00A316C6">
        <w:t xml:space="preserve">, whether a proposed source or modification will have an adverse impact on </w:t>
      </w:r>
      <w:r w:rsidR="0068290C">
        <w:t>such</w:t>
      </w:r>
      <w:r w:rsidRPr="00A316C6">
        <w:t xml:space="preserve"> values.</w:t>
      </w:r>
    </w:p>
    <w:p w:rsidR="00A316C6" w:rsidRPr="00A316C6" w:rsidRDefault="00A316C6" w:rsidP="00952E7F"/>
    <w:p w:rsidR="00A316C6" w:rsidRPr="00A316C6" w:rsidRDefault="00FD7452" w:rsidP="00A316C6">
      <w:pPr>
        <w:ind w:left="1440" w:hanging="720"/>
      </w:pPr>
      <w:r>
        <w:t>c)</w:t>
      </w:r>
      <w:r>
        <w:tab/>
        <w:t>Visibility A</w:t>
      </w:r>
      <w:r w:rsidR="00A316C6" w:rsidRPr="00A316C6">
        <w:t xml:space="preserve">nalysis.  The </w:t>
      </w:r>
      <w:r>
        <w:t>Agency</w:t>
      </w:r>
      <w:r w:rsidR="00A316C6" w:rsidRPr="00A316C6">
        <w:t xml:space="preserve"> </w:t>
      </w:r>
      <w:r>
        <w:t>shall</w:t>
      </w:r>
      <w:r w:rsidR="00A316C6" w:rsidRPr="00A316C6">
        <w:t xml:space="preserve"> consider any analysis performed by the Federal Land Man</w:t>
      </w:r>
      <w:r>
        <w:t>ager, provided within 30 days after</w:t>
      </w:r>
      <w:r w:rsidR="00A316C6" w:rsidRPr="00A316C6">
        <w:t xml:space="preserve"> the notification required by subsection (a), that shows that a proposed new major stationary source or major modification may have an adverse impact on visibility in </w:t>
      </w:r>
      <w:r>
        <w:t>any Federal Class I area.  When</w:t>
      </w:r>
      <w:r w:rsidR="00A316C6" w:rsidRPr="00A316C6">
        <w:t xml:space="preserve"> the </w:t>
      </w:r>
      <w:r>
        <w:t>Agency</w:t>
      </w:r>
      <w:r w:rsidR="00A316C6" w:rsidRPr="00A316C6">
        <w:t xml:space="preserve"> finds that such an analysis does not demonstrate to </w:t>
      </w:r>
      <w:r>
        <w:t>its</w:t>
      </w:r>
      <w:r w:rsidR="00A316C6" w:rsidRPr="00A316C6">
        <w:t xml:space="preserve"> satisfaction that an adverse impact on visibility will result in the Federal Class I area, the </w:t>
      </w:r>
      <w:r>
        <w:t>Agency</w:t>
      </w:r>
      <w:r w:rsidR="00A316C6" w:rsidRPr="00A316C6">
        <w:t xml:space="preserve"> </w:t>
      </w:r>
      <w:r w:rsidR="0068290C">
        <w:t>must</w:t>
      </w:r>
      <w:r w:rsidR="00A316C6" w:rsidRPr="00A316C6">
        <w:t>, in the notice of public hearing on the permit application, either explain its decision or give notice as to where the explanation can be obtained.</w:t>
      </w:r>
    </w:p>
    <w:p w:rsidR="00A316C6" w:rsidRPr="00A316C6" w:rsidRDefault="00A316C6" w:rsidP="00952E7F"/>
    <w:p w:rsidR="00A316C6" w:rsidRPr="00A316C6" w:rsidRDefault="00A316C6" w:rsidP="00A316C6">
      <w:pPr>
        <w:ind w:left="1440" w:hanging="720"/>
      </w:pPr>
      <w:r>
        <w:t>d)</w:t>
      </w:r>
      <w:r>
        <w:tab/>
        <w:t>Denial</w:t>
      </w:r>
      <w:r w:rsidR="00BD75B2">
        <w:t>;</w:t>
      </w:r>
      <w:r w:rsidR="00CB099C">
        <w:t xml:space="preserve"> Impact On Air Quality Related V</w:t>
      </w:r>
      <w:r w:rsidRPr="00A316C6">
        <w:t xml:space="preserve">alues.  The Federal Land Manager of any such lands may demonstrate to the </w:t>
      </w:r>
      <w:r w:rsidR="00CB099C">
        <w:t>Agency</w:t>
      </w:r>
      <w:r w:rsidRPr="00A316C6">
        <w:t xml:space="preserve"> that the emissions from a proposed source or modification would have an adverse impact on the air quality-related values (including visibility) of those lands, notwithstanding that the change in air quality resulting from emissions from </w:t>
      </w:r>
      <w:r w:rsidR="0068290C">
        <w:t>such</w:t>
      </w:r>
      <w:r w:rsidRPr="00A316C6">
        <w:t xml:space="preserve"> source or modification would not cause or contribute to concentrations </w:t>
      </w:r>
      <w:r w:rsidR="00CB099C">
        <w:t>that</w:t>
      </w:r>
      <w:r w:rsidRPr="00A316C6">
        <w:t xml:space="preserve"> would exceed the maximum allowable increas</w:t>
      </w:r>
      <w:r w:rsidR="00CB099C">
        <w:t>es for a Class I area.  If the Agency</w:t>
      </w:r>
      <w:r w:rsidRPr="00A316C6">
        <w:t xml:space="preserve"> concurs with </w:t>
      </w:r>
      <w:r w:rsidR="0068290C">
        <w:t>such</w:t>
      </w:r>
      <w:r w:rsidRPr="00A316C6">
        <w:t xml:space="preserve"> demonstration, it </w:t>
      </w:r>
      <w:r w:rsidR="00CB099C">
        <w:t>shall</w:t>
      </w:r>
      <w:r w:rsidRPr="00A316C6">
        <w:t xml:space="preserve"> not issue the permit.</w:t>
      </w:r>
    </w:p>
    <w:p w:rsidR="00A316C6" w:rsidRPr="00A316C6" w:rsidRDefault="00A316C6" w:rsidP="00952E7F"/>
    <w:p w:rsidR="00A316C6" w:rsidRPr="00A316C6" w:rsidRDefault="00CB099C" w:rsidP="00A316C6">
      <w:pPr>
        <w:ind w:left="1440" w:hanging="720"/>
      </w:pPr>
      <w:r>
        <w:t>e)</w:t>
      </w:r>
      <w:r>
        <w:tab/>
        <w:t>Class I V</w:t>
      </w:r>
      <w:r w:rsidR="00A316C6" w:rsidRPr="00A316C6">
        <w:t xml:space="preserve">ariances.  The owner or operator of a proposed source or modification may demonstrate to the Federal Land Manager that the emissions from </w:t>
      </w:r>
      <w:r w:rsidR="0068290C">
        <w:t>such</w:t>
      </w:r>
      <w:r w:rsidR="00A316C6" w:rsidRPr="00A316C6">
        <w:t xml:space="preserve"> </w:t>
      </w:r>
      <w:r w:rsidR="00A316C6" w:rsidRPr="00A316C6">
        <w:lastRenderedPageBreak/>
        <w:t xml:space="preserve">source or modification would have no adverse impact on the air quality related values of any such lands (including visibility), notwithstanding that the change in air quality resulting from emissions from </w:t>
      </w:r>
      <w:r w:rsidR="0068290C">
        <w:t>such</w:t>
      </w:r>
      <w:r w:rsidR="00A316C6" w:rsidRPr="00A316C6">
        <w:t xml:space="preserve"> source or modification would cause or contribute to concentrations </w:t>
      </w:r>
      <w:r>
        <w:t>that</w:t>
      </w:r>
      <w:r w:rsidR="00A316C6" w:rsidRPr="00A316C6">
        <w:t xml:space="preserve"> would exceed the maximum allowable increases for a Class I area.  If the Federal Land Manager concurs with </w:t>
      </w:r>
      <w:r w:rsidR="0068290C">
        <w:t>such</w:t>
      </w:r>
      <w:r w:rsidR="00A316C6" w:rsidRPr="00A316C6">
        <w:t xml:space="preserve"> demonstration and so certifies, the </w:t>
      </w:r>
      <w:r>
        <w:t>Agency</w:t>
      </w:r>
      <w:r w:rsidR="00A316C6" w:rsidRPr="00A316C6">
        <w:t xml:space="preserve"> may, provided that the applicable requirements of this Part are otherwise met, issue the permit with such emission limitations as may be necessary to assure that emissions of SO</w:t>
      </w:r>
      <w:r w:rsidR="00A316C6" w:rsidRPr="00CB099C">
        <w:rPr>
          <w:vertAlign w:val="subscript"/>
        </w:rPr>
        <w:t>2</w:t>
      </w:r>
      <w:r w:rsidR="00A316C6" w:rsidRPr="00A316C6">
        <w:t>, PM</w:t>
      </w:r>
      <w:r w:rsidR="00A316C6" w:rsidRPr="00CB099C">
        <w:rPr>
          <w:vertAlign w:val="subscript"/>
        </w:rPr>
        <w:t>2.5</w:t>
      </w:r>
      <w:r w:rsidR="00A316C6" w:rsidRPr="00A316C6">
        <w:t>, PM</w:t>
      </w:r>
      <w:r w:rsidR="00A316C6" w:rsidRPr="00CB099C">
        <w:rPr>
          <w:vertAlign w:val="subscript"/>
        </w:rPr>
        <w:t>10</w:t>
      </w:r>
      <w:r w:rsidR="00A316C6" w:rsidRPr="00A316C6">
        <w:t>, and NO</w:t>
      </w:r>
      <w:r w:rsidR="00605D8A" w:rsidRPr="00982442">
        <w:rPr>
          <w:vertAlign w:val="subscript"/>
        </w:rPr>
        <w:t>X</w:t>
      </w:r>
      <w:r w:rsidR="00A316C6" w:rsidRPr="00A316C6">
        <w:t xml:space="preserve"> would not exceed the following maximum allowable increases over minor source baseline concentration for </w:t>
      </w:r>
      <w:r w:rsidR="0068290C">
        <w:t>such</w:t>
      </w:r>
      <w:r w:rsidR="00A316C6" w:rsidRPr="00A316C6">
        <w:t xml:space="preserve"> pollutants:</w:t>
      </w:r>
    </w:p>
    <w:p w:rsidR="00A316C6" w:rsidRPr="00A316C6" w:rsidRDefault="00A316C6" w:rsidP="00A316C6"/>
    <w:tbl>
      <w:tblPr>
        <w:tblStyle w:val="TableGrid"/>
        <w:tblW w:w="0" w:type="auto"/>
        <w:tblInd w:w="1435" w:type="dxa"/>
        <w:tblBorders>
          <w:left w:val="none" w:sz="0" w:space="0" w:color="auto"/>
          <w:right w:val="none" w:sz="0" w:space="0" w:color="auto"/>
        </w:tblBorders>
        <w:tblLook w:val="04A0" w:firstRow="1" w:lastRow="0" w:firstColumn="1" w:lastColumn="0" w:noHBand="0" w:noVBand="1"/>
      </w:tblPr>
      <w:tblGrid>
        <w:gridCol w:w="4225"/>
        <w:gridCol w:w="3420"/>
      </w:tblGrid>
      <w:tr w:rsidR="00A316C6" w:rsidRPr="00A316C6" w:rsidTr="00A316C6">
        <w:tc>
          <w:tcPr>
            <w:tcW w:w="4225" w:type="dxa"/>
            <w:tcBorders>
              <w:left w:val="single" w:sz="4" w:space="0" w:color="auto"/>
            </w:tcBorders>
          </w:tcPr>
          <w:p w:rsidR="00A316C6" w:rsidRPr="00A316C6" w:rsidRDefault="00A316C6" w:rsidP="00A316C6">
            <w:pPr>
              <w:rPr>
                <w:rFonts w:ascii="Times New Roman" w:hAnsi="Times New Roman" w:cs="Times New Roman"/>
              </w:rPr>
            </w:pPr>
          </w:p>
          <w:p w:rsidR="00A316C6" w:rsidRPr="00A316C6" w:rsidRDefault="00A316C6" w:rsidP="00A316C6">
            <w:pPr>
              <w:jc w:val="center"/>
              <w:rPr>
                <w:rFonts w:ascii="Times New Roman" w:hAnsi="Times New Roman" w:cs="Times New Roman"/>
              </w:rPr>
            </w:pPr>
            <w:r w:rsidRPr="00A316C6">
              <w:rPr>
                <w:rFonts w:ascii="Times New Roman" w:hAnsi="Times New Roman" w:cs="Times New Roman"/>
              </w:rPr>
              <w:t>Pollutant</w:t>
            </w:r>
          </w:p>
        </w:tc>
        <w:tc>
          <w:tcPr>
            <w:tcW w:w="3420" w:type="dxa"/>
            <w:tcBorders>
              <w:right w:val="single" w:sz="4" w:space="0" w:color="auto"/>
            </w:tcBorders>
          </w:tcPr>
          <w:p w:rsidR="00A316C6" w:rsidRPr="00A316C6" w:rsidRDefault="00A316C6" w:rsidP="00A316C6">
            <w:pPr>
              <w:jc w:val="center"/>
              <w:rPr>
                <w:rFonts w:ascii="Times New Roman" w:hAnsi="Times New Roman" w:cs="Times New Roman"/>
              </w:rPr>
            </w:pPr>
            <w:r w:rsidRPr="00A316C6">
              <w:rPr>
                <w:rFonts w:ascii="Times New Roman" w:hAnsi="Times New Roman" w:cs="Times New Roman"/>
              </w:rPr>
              <w:t>Maximum allowable increase</w:t>
            </w:r>
          </w:p>
          <w:p w:rsidR="00A316C6" w:rsidRPr="00A316C6" w:rsidRDefault="00A316C6" w:rsidP="00A316C6">
            <w:pPr>
              <w:jc w:val="center"/>
              <w:rPr>
                <w:rFonts w:ascii="Times New Roman" w:hAnsi="Times New Roman" w:cs="Times New Roman"/>
              </w:rPr>
            </w:pPr>
            <w:r w:rsidRPr="00A316C6">
              <w:rPr>
                <w:rFonts w:ascii="Times New Roman" w:hAnsi="Times New Roman" w:cs="Times New Roman"/>
              </w:rPr>
              <w:t>(micrograms per cubic meter)</w:t>
            </w:r>
          </w:p>
        </w:tc>
      </w:tr>
      <w:tr w:rsidR="00A316C6" w:rsidRPr="00A316C6" w:rsidTr="00A316C6">
        <w:tc>
          <w:tcPr>
            <w:tcW w:w="4225" w:type="dxa"/>
            <w:tcBorders>
              <w:left w:val="single" w:sz="4" w:space="0" w:color="auto"/>
              <w:bottom w:val="nil"/>
            </w:tcBorders>
          </w:tcPr>
          <w:p w:rsidR="00A316C6" w:rsidRPr="00A316C6" w:rsidRDefault="00A316C6" w:rsidP="00A316C6">
            <w:pPr>
              <w:rPr>
                <w:rFonts w:ascii="Times New Roman" w:hAnsi="Times New Roman" w:cs="Times New Roman"/>
              </w:rPr>
            </w:pPr>
            <w:r w:rsidRPr="00A316C6">
              <w:rPr>
                <w:rFonts w:ascii="Times New Roman" w:hAnsi="Times New Roman" w:cs="Times New Roman"/>
              </w:rPr>
              <w:t>PM</w:t>
            </w:r>
            <w:r w:rsidRPr="00A316C6">
              <w:rPr>
                <w:rFonts w:ascii="Times New Roman" w:hAnsi="Times New Roman" w:cs="Times New Roman"/>
                <w:vertAlign w:val="subscript"/>
              </w:rPr>
              <w:t>2.5</w:t>
            </w:r>
            <w:r w:rsidRPr="00A316C6">
              <w:rPr>
                <w:rFonts w:ascii="Times New Roman" w:hAnsi="Times New Roman" w:cs="Times New Roman"/>
              </w:rPr>
              <w:t>:</w:t>
            </w:r>
          </w:p>
        </w:tc>
        <w:tc>
          <w:tcPr>
            <w:tcW w:w="3420" w:type="dxa"/>
            <w:tcBorders>
              <w:bottom w:val="nil"/>
              <w:right w:val="single" w:sz="4" w:space="0" w:color="auto"/>
            </w:tcBorders>
          </w:tcPr>
          <w:p w:rsidR="00A316C6" w:rsidRPr="00A316C6" w:rsidRDefault="00A316C6" w:rsidP="00A316C6">
            <w:pPr>
              <w:rPr>
                <w:rFonts w:ascii="Times New Roman" w:hAnsi="Times New Roman" w:cs="Times New Roman"/>
              </w:rPr>
            </w:pPr>
          </w:p>
        </w:tc>
      </w:tr>
      <w:tr w:rsidR="00A316C6" w:rsidRPr="00A316C6" w:rsidTr="00A316C6">
        <w:tc>
          <w:tcPr>
            <w:tcW w:w="4225" w:type="dxa"/>
            <w:tcBorders>
              <w:top w:val="nil"/>
              <w:left w:val="single" w:sz="4" w:space="0" w:color="auto"/>
              <w:bottom w:val="nil"/>
            </w:tcBorders>
          </w:tcPr>
          <w:p w:rsidR="00A316C6" w:rsidRPr="00A316C6" w:rsidRDefault="00A316C6" w:rsidP="00A316C6">
            <w:pPr>
              <w:rPr>
                <w:rFonts w:ascii="Times New Roman" w:hAnsi="Times New Roman" w:cs="Times New Roman"/>
              </w:rPr>
            </w:pPr>
            <w:r w:rsidRPr="00A316C6">
              <w:rPr>
                <w:rFonts w:ascii="Times New Roman" w:hAnsi="Times New Roman" w:cs="Times New Roman"/>
              </w:rPr>
              <w:tab/>
              <w:t>Annual arithmetic mean</w:t>
            </w:r>
          </w:p>
        </w:tc>
        <w:tc>
          <w:tcPr>
            <w:tcW w:w="3420" w:type="dxa"/>
            <w:tcBorders>
              <w:top w:val="nil"/>
              <w:bottom w:val="nil"/>
              <w:right w:val="single" w:sz="4" w:space="0" w:color="auto"/>
            </w:tcBorders>
          </w:tcPr>
          <w:p w:rsidR="00A316C6" w:rsidRPr="00A316C6" w:rsidRDefault="00A316C6" w:rsidP="00A316C6">
            <w:pPr>
              <w:jc w:val="center"/>
              <w:rPr>
                <w:rFonts w:ascii="Times New Roman" w:hAnsi="Times New Roman" w:cs="Times New Roman"/>
              </w:rPr>
            </w:pPr>
            <w:r w:rsidRPr="00A316C6">
              <w:rPr>
                <w:rFonts w:ascii="Times New Roman" w:hAnsi="Times New Roman" w:cs="Times New Roman"/>
              </w:rPr>
              <w:t>4</w:t>
            </w:r>
          </w:p>
        </w:tc>
      </w:tr>
      <w:tr w:rsidR="00A316C6" w:rsidRPr="00A316C6" w:rsidTr="00A316C6">
        <w:tc>
          <w:tcPr>
            <w:tcW w:w="4225" w:type="dxa"/>
            <w:tcBorders>
              <w:top w:val="nil"/>
              <w:left w:val="single" w:sz="4" w:space="0" w:color="auto"/>
              <w:bottom w:val="single" w:sz="4" w:space="0" w:color="auto"/>
            </w:tcBorders>
          </w:tcPr>
          <w:p w:rsidR="00A316C6" w:rsidRPr="00A316C6" w:rsidRDefault="00A316C6" w:rsidP="00A316C6">
            <w:pPr>
              <w:rPr>
                <w:rFonts w:ascii="Times New Roman" w:hAnsi="Times New Roman" w:cs="Times New Roman"/>
              </w:rPr>
            </w:pPr>
            <w:r w:rsidRPr="00A316C6">
              <w:rPr>
                <w:rFonts w:ascii="Times New Roman" w:hAnsi="Times New Roman" w:cs="Times New Roman"/>
              </w:rPr>
              <w:tab/>
              <w:t>24-hr maximum</w:t>
            </w:r>
          </w:p>
        </w:tc>
        <w:tc>
          <w:tcPr>
            <w:tcW w:w="3420" w:type="dxa"/>
            <w:tcBorders>
              <w:top w:val="nil"/>
              <w:bottom w:val="single" w:sz="4" w:space="0" w:color="auto"/>
              <w:right w:val="single" w:sz="4" w:space="0" w:color="auto"/>
            </w:tcBorders>
          </w:tcPr>
          <w:p w:rsidR="00A316C6" w:rsidRPr="00A316C6" w:rsidRDefault="00A316C6" w:rsidP="00A316C6">
            <w:pPr>
              <w:jc w:val="center"/>
              <w:rPr>
                <w:rFonts w:ascii="Times New Roman" w:hAnsi="Times New Roman" w:cs="Times New Roman"/>
              </w:rPr>
            </w:pPr>
            <w:r w:rsidRPr="00A316C6">
              <w:rPr>
                <w:rFonts w:ascii="Times New Roman" w:hAnsi="Times New Roman" w:cs="Times New Roman"/>
              </w:rPr>
              <w:t>9</w:t>
            </w:r>
          </w:p>
        </w:tc>
      </w:tr>
      <w:tr w:rsidR="00A316C6" w:rsidRPr="00A316C6" w:rsidTr="00A316C6">
        <w:tc>
          <w:tcPr>
            <w:tcW w:w="4225" w:type="dxa"/>
            <w:tcBorders>
              <w:left w:val="single" w:sz="4" w:space="0" w:color="auto"/>
              <w:bottom w:val="nil"/>
            </w:tcBorders>
          </w:tcPr>
          <w:p w:rsidR="00A316C6" w:rsidRPr="00A316C6" w:rsidRDefault="00A316C6" w:rsidP="00A316C6">
            <w:pPr>
              <w:rPr>
                <w:rFonts w:ascii="Times New Roman" w:hAnsi="Times New Roman" w:cs="Times New Roman"/>
              </w:rPr>
            </w:pPr>
            <w:r w:rsidRPr="00A316C6">
              <w:rPr>
                <w:rFonts w:ascii="Times New Roman" w:hAnsi="Times New Roman" w:cs="Times New Roman"/>
              </w:rPr>
              <w:t>PM</w:t>
            </w:r>
            <w:r w:rsidRPr="00A316C6">
              <w:rPr>
                <w:rFonts w:ascii="Times New Roman" w:hAnsi="Times New Roman" w:cs="Times New Roman"/>
                <w:vertAlign w:val="subscript"/>
              </w:rPr>
              <w:t>10</w:t>
            </w:r>
            <w:r w:rsidRPr="00A316C6">
              <w:rPr>
                <w:rFonts w:ascii="Times New Roman" w:hAnsi="Times New Roman" w:cs="Times New Roman"/>
              </w:rPr>
              <w:t>:</w:t>
            </w:r>
          </w:p>
        </w:tc>
        <w:tc>
          <w:tcPr>
            <w:tcW w:w="3420" w:type="dxa"/>
            <w:tcBorders>
              <w:bottom w:val="nil"/>
              <w:right w:val="single" w:sz="4" w:space="0" w:color="auto"/>
            </w:tcBorders>
          </w:tcPr>
          <w:p w:rsidR="00A316C6" w:rsidRPr="00A316C6" w:rsidRDefault="00A316C6" w:rsidP="00A316C6">
            <w:pPr>
              <w:jc w:val="center"/>
              <w:rPr>
                <w:rFonts w:ascii="Times New Roman" w:hAnsi="Times New Roman" w:cs="Times New Roman"/>
              </w:rPr>
            </w:pPr>
          </w:p>
        </w:tc>
      </w:tr>
      <w:tr w:rsidR="00A316C6" w:rsidRPr="00A316C6" w:rsidTr="00A316C6">
        <w:tc>
          <w:tcPr>
            <w:tcW w:w="4225" w:type="dxa"/>
            <w:tcBorders>
              <w:top w:val="nil"/>
              <w:left w:val="single" w:sz="4" w:space="0" w:color="auto"/>
              <w:bottom w:val="nil"/>
            </w:tcBorders>
          </w:tcPr>
          <w:p w:rsidR="00A316C6" w:rsidRPr="00A316C6" w:rsidRDefault="00A316C6" w:rsidP="00A316C6">
            <w:pPr>
              <w:rPr>
                <w:rFonts w:ascii="Times New Roman" w:hAnsi="Times New Roman" w:cs="Times New Roman"/>
              </w:rPr>
            </w:pPr>
            <w:r w:rsidRPr="00A316C6">
              <w:rPr>
                <w:rFonts w:ascii="Times New Roman" w:hAnsi="Times New Roman" w:cs="Times New Roman"/>
              </w:rPr>
              <w:tab/>
              <w:t>Annual arithmetic mean</w:t>
            </w:r>
          </w:p>
        </w:tc>
        <w:tc>
          <w:tcPr>
            <w:tcW w:w="3420" w:type="dxa"/>
            <w:tcBorders>
              <w:top w:val="nil"/>
              <w:bottom w:val="nil"/>
              <w:right w:val="single" w:sz="4" w:space="0" w:color="auto"/>
            </w:tcBorders>
          </w:tcPr>
          <w:p w:rsidR="00A316C6" w:rsidRPr="00A316C6" w:rsidRDefault="00A316C6" w:rsidP="00A316C6">
            <w:pPr>
              <w:jc w:val="center"/>
              <w:rPr>
                <w:rFonts w:ascii="Times New Roman" w:hAnsi="Times New Roman" w:cs="Times New Roman"/>
              </w:rPr>
            </w:pPr>
            <w:r w:rsidRPr="00A316C6">
              <w:rPr>
                <w:rFonts w:ascii="Times New Roman" w:hAnsi="Times New Roman" w:cs="Times New Roman"/>
              </w:rPr>
              <w:t>17</w:t>
            </w:r>
          </w:p>
        </w:tc>
      </w:tr>
      <w:tr w:rsidR="00A316C6" w:rsidRPr="00A316C6" w:rsidTr="00A316C6">
        <w:tc>
          <w:tcPr>
            <w:tcW w:w="4225" w:type="dxa"/>
            <w:tcBorders>
              <w:top w:val="nil"/>
              <w:left w:val="single" w:sz="4" w:space="0" w:color="auto"/>
              <w:bottom w:val="single" w:sz="4" w:space="0" w:color="auto"/>
            </w:tcBorders>
          </w:tcPr>
          <w:p w:rsidR="00A316C6" w:rsidRPr="00A316C6" w:rsidRDefault="00A316C6" w:rsidP="00A316C6">
            <w:pPr>
              <w:rPr>
                <w:rFonts w:ascii="Times New Roman" w:hAnsi="Times New Roman" w:cs="Times New Roman"/>
              </w:rPr>
            </w:pPr>
            <w:r w:rsidRPr="00A316C6">
              <w:rPr>
                <w:rFonts w:ascii="Times New Roman" w:hAnsi="Times New Roman" w:cs="Times New Roman"/>
              </w:rPr>
              <w:tab/>
              <w:t>24-hr maximum</w:t>
            </w:r>
          </w:p>
        </w:tc>
        <w:tc>
          <w:tcPr>
            <w:tcW w:w="3420" w:type="dxa"/>
            <w:tcBorders>
              <w:top w:val="nil"/>
              <w:bottom w:val="single" w:sz="4" w:space="0" w:color="auto"/>
              <w:right w:val="single" w:sz="4" w:space="0" w:color="auto"/>
            </w:tcBorders>
          </w:tcPr>
          <w:p w:rsidR="00A316C6" w:rsidRPr="00A316C6" w:rsidRDefault="00A316C6" w:rsidP="00A316C6">
            <w:pPr>
              <w:jc w:val="center"/>
              <w:rPr>
                <w:rFonts w:ascii="Times New Roman" w:hAnsi="Times New Roman" w:cs="Times New Roman"/>
              </w:rPr>
            </w:pPr>
            <w:r w:rsidRPr="00A316C6">
              <w:rPr>
                <w:rFonts w:ascii="Times New Roman" w:hAnsi="Times New Roman" w:cs="Times New Roman"/>
              </w:rPr>
              <w:t>30</w:t>
            </w:r>
          </w:p>
        </w:tc>
      </w:tr>
      <w:tr w:rsidR="00A316C6" w:rsidRPr="00A316C6" w:rsidTr="00A316C6">
        <w:tc>
          <w:tcPr>
            <w:tcW w:w="4225" w:type="dxa"/>
            <w:tcBorders>
              <w:left w:val="single" w:sz="4" w:space="0" w:color="auto"/>
              <w:bottom w:val="nil"/>
            </w:tcBorders>
          </w:tcPr>
          <w:p w:rsidR="00A316C6" w:rsidRPr="00A316C6" w:rsidRDefault="00A316C6" w:rsidP="00A316C6">
            <w:pPr>
              <w:rPr>
                <w:rFonts w:ascii="Times New Roman" w:hAnsi="Times New Roman" w:cs="Times New Roman"/>
              </w:rPr>
            </w:pPr>
            <w:r w:rsidRPr="00A316C6">
              <w:rPr>
                <w:rFonts w:ascii="Times New Roman" w:hAnsi="Times New Roman" w:cs="Times New Roman"/>
              </w:rPr>
              <w:t>SO</w:t>
            </w:r>
            <w:r w:rsidRPr="00A316C6">
              <w:rPr>
                <w:rFonts w:ascii="Times New Roman" w:hAnsi="Times New Roman" w:cs="Times New Roman"/>
                <w:vertAlign w:val="subscript"/>
              </w:rPr>
              <w:t>2</w:t>
            </w:r>
            <w:r w:rsidRPr="00A316C6">
              <w:rPr>
                <w:rFonts w:ascii="Times New Roman" w:hAnsi="Times New Roman" w:cs="Times New Roman"/>
              </w:rPr>
              <w:t>:</w:t>
            </w:r>
          </w:p>
        </w:tc>
        <w:tc>
          <w:tcPr>
            <w:tcW w:w="3420" w:type="dxa"/>
            <w:tcBorders>
              <w:bottom w:val="nil"/>
              <w:right w:val="single" w:sz="4" w:space="0" w:color="auto"/>
            </w:tcBorders>
          </w:tcPr>
          <w:p w:rsidR="00A316C6" w:rsidRPr="00A316C6" w:rsidRDefault="00A316C6" w:rsidP="00A316C6">
            <w:pPr>
              <w:jc w:val="center"/>
              <w:rPr>
                <w:rFonts w:ascii="Times New Roman" w:hAnsi="Times New Roman" w:cs="Times New Roman"/>
              </w:rPr>
            </w:pPr>
          </w:p>
        </w:tc>
      </w:tr>
      <w:tr w:rsidR="00A316C6" w:rsidRPr="00A316C6" w:rsidTr="00A316C6">
        <w:tc>
          <w:tcPr>
            <w:tcW w:w="4225" w:type="dxa"/>
            <w:tcBorders>
              <w:top w:val="nil"/>
              <w:left w:val="single" w:sz="4" w:space="0" w:color="auto"/>
              <w:bottom w:val="nil"/>
            </w:tcBorders>
          </w:tcPr>
          <w:p w:rsidR="00A316C6" w:rsidRPr="00A316C6" w:rsidRDefault="00A316C6" w:rsidP="00A316C6">
            <w:pPr>
              <w:rPr>
                <w:rFonts w:ascii="Times New Roman" w:hAnsi="Times New Roman" w:cs="Times New Roman"/>
              </w:rPr>
            </w:pPr>
            <w:r w:rsidRPr="00A316C6">
              <w:rPr>
                <w:rFonts w:ascii="Times New Roman" w:hAnsi="Times New Roman" w:cs="Times New Roman"/>
              </w:rPr>
              <w:tab/>
              <w:t>Annual arithmetic mean</w:t>
            </w:r>
          </w:p>
        </w:tc>
        <w:tc>
          <w:tcPr>
            <w:tcW w:w="3420" w:type="dxa"/>
            <w:tcBorders>
              <w:top w:val="nil"/>
              <w:bottom w:val="nil"/>
              <w:right w:val="single" w:sz="4" w:space="0" w:color="auto"/>
            </w:tcBorders>
          </w:tcPr>
          <w:p w:rsidR="00A316C6" w:rsidRPr="00A316C6" w:rsidRDefault="00A316C6" w:rsidP="00A316C6">
            <w:pPr>
              <w:jc w:val="center"/>
              <w:rPr>
                <w:rFonts w:ascii="Times New Roman" w:hAnsi="Times New Roman" w:cs="Times New Roman"/>
              </w:rPr>
            </w:pPr>
            <w:r w:rsidRPr="00A316C6">
              <w:rPr>
                <w:rFonts w:ascii="Times New Roman" w:hAnsi="Times New Roman" w:cs="Times New Roman"/>
              </w:rPr>
              <w:t>20</w:t>
            </w:r>
          </w:p>
        </w:tc>
      </w:tr>
      <w:tr w:rsidR="00A316C6" w:rsidRPr="00A316C6" w:rsidTr="00A316C6">
        <w:tc>
          <w:tcPr>
            <w:tcW w:w="4225" w:type="dxa"/>
            <w:tcBorders>
              <w:top w:val="nil"/>
              <w:left w:val="single" w:sz="4" w:space="0" w:color="auto"/>
              <w:bottom w:val="nil"/>
            </w:tcBorders>
          </w:tcPr>
          <w:p w:rsidR="00A316C6" w:rsidRPr="00A316C6" w:rsidRDefault="00A316C6" w:rsidP="00A316C6">
            <w:pPr>
              <w:rPr>
                <w:rFonts w:ascii="Times New Roman" w:hAnsi="Times New Roman" w:cs="Times New Roman"/>
              </w:rPr>
            </w:pPr>
            <w:r w:rsidRPr="00A316C6">
              <w:rPr>
                <w:rFonts w:ascii="Times New Roman" w:hAnsi="Times New Roman" w:cs="Times New Roman"/>
              </w:rPr>
              <w:tab/>
              <w:t>24-hr maximum</w:t>
            </w:r>
          </w:p>
        </w:tc>
        <w:tc>
          <w:tcPr>
            <w:tcW w:w="3420" w:type="dxa"/>
            <w:tcBorders>
              <w:top w:val="nil"/>
              <w:bottom w:val="nil"/>
              <w:right w:val="single" w:sz="4" w:space="0" w:color="auto"/>
            </w:tcBorders>
          </w:tcPr>
          <w:p w:rsidR="00A316C6" w:rsidRPr="00A316C6" w:rsidRDefault="00A316C6" w:rsidP="00A316C6">
            <w:pPr>
              <w:jc w:val="center"/>
              <w:rPr>
                <w:rFonts w:ascii="Times New Roman" w:hAnsi="Times New Roman" w:cs="Times New Roman"/>
              </w:rPr>
            </w:pPr>
            <w:r w:rsidRPr="00A316C6">
              <w:rPr>
                <w:rFonts w:ascii="Times New Roman" w:hAnsi="Times New Roman" w:cs="Times New Roman"/>
              </w:rPr>
              <w:t>91</w:t>
            </w:r>
          </w:p>
        </w:tc>
      </w:tr>
      <w:tr w:rsidR="00A316C6" w:rsidRPr="00A316C6" w:rsidTr="00A316C6">
        <w:tc>
          <w:tcPr>
            <w:tcW w:w="4225" w:type="dxa"/>
            <w:tcBorders>
              <w:top w:val="nil"/>
              <w:left w:val="single" w:sz="4" w:space="0" w:color="auto"/>
              <w:bottom w:val="single" w:sz="4" w:space="0" w:color="auto"/>
            </w:tcBorders>
          </w:tcPr>
          <w:p w:rsidR="00A316C6" w:rsidRPr="00A316C6" w:rsidRDefault="00A316C6" w:rsidP="00A316C6">
            <w:pPr>
              <w:rPr>
                <w:rFonts w:ascii="Times New Roman" w:hAnsi="Times New Roman" w:cs="Times New Roman"/>
              </w:rPr>
            </w:pPr>
            <w:r w:rsidRPr="00A316C6">
              <w:rPr>
                <w:rFonts w:ascii="Times New Roman" w:hAnsi="Times New Roman" w:cs="Times New Roman"/>
              </w:rPr>
              <w:tab/>
              <w:t>3-hr maximum</w:t>
            </w:r>
          </w:p>
        </w:tc>
        <w:tc>
          <w:tcPr>
            <w:tcW w:w="3420" w:type="dxa"/>
            <w:tcBorders>
              <w:top w:val="nil"/>
              <w:bottom w:val="single" w:sz="4" w:space="0" w:color="auto"/>
              <w:right w:val="single" w:sz="4" w:space="0" w:color="auto"/>
            </w:tcBorders>
          </w:tcPr>
          <w:p w:rsidR="00A316C6" w:rsidRPr="00A316C6" w:rsidRDefault="00A316C6" w:rsidP="00A316C6">
            <w:pPr>
              <w:jc w:val="center"/>
              <w:rPr>
                <w:rFonts w:ascii="Times New Roman" w:hAnsi="Times New Roman" w:cs="Times New Roman"/>
              </w:rPr>
            </w:pPr>
            <w:r w:rsidRPr="00A316C6">
              <w:rPr>
                <w:rFonts w:ascii="Times New Roman" w:hAnsi="Times New Roman" w:cs="Times New Roman"/>
              </w:rPr>
              <w:t>325</w:t>
            </w:r>
          </w:p>
        </w:tc>
      </w:tr>
      <w:tr w:rsidR="00A316C6" w:rsidRPr="00A316C6" w:rsidTr="00A316C6">
        <w:tc>
          <w:tcPr>
            <w:tcW w:w="4225" w:type="dxa"/>
            <w:tcBorders>
              <w:left w:val="single" w:sz="4" w:space="0" w:color="auto"/>
              <w:bottom w:val="nil"/>
            </w:tcBorders>
          </w:tcPr>
          <w:p w:rsidR="00A316C6" w:rsidRPr="00A316C6" w:rsidRDefault="00A316C6" w:rsidP="00A316C6">
            <w:pPr>
              <w:rPr>
                <w:rFonts w:ascii="Times New Roman" w:hAnsi="Times New Roman" w:cs="Times New Roman"/>
              </w:rPr>
            </w:pPr>
            <w:r w:rsidRPr="00A316C6">
              <w:rPr>
                <w:rFonts w:ascii="Times New Roman" w:hAnsi="Times New Roman" w:cs="Times New Roman"/>
              </w:rPr>
              <w:t>NO</w:t>
            </w:r>
            <w:r w:rsidRPr="00A316C6">
              <w:rPr>
                <w:rFonts w:ascii="Times New Roman" w:hAnsi="Times New Roman" w:cs="Times New Roman"/>
                <w:vertAlign w:val="subscript"/>
              </w:rPr>
              <w:t>2</w:t>
            </w:r>
            <w:r w:rsidRPr="00A316C6">
              <w:rPr>
                <w:rFonts w:ascii="Times New Roman" w:hAnsi="Times New Roman" w:cs="Times New Roman"/>
              </w:rPr>
              <w:t>:</w:t>
            </w:r>
          </w:p>
        </w:tc>
        <w:tc>
          <w:tcPr>
            <w:tcW w:w="3420" w:type="dxa"/>
            <w:tcBorders>
              <w:bottom w:val="nil"/>
              <w:right w:val="single" w:sz="4" w:space="0" w:color="auto"/>
            </w:tcBorders>
          </w:tcPr>
          <w:p w:rsidR="00A316C6" w:rsidRPr="00A316C6" w:rsidRDefault="00A316C6" w:rsidP="00A316C6">
            <w:pPr>
              <w:jc w:val="center"/>
              <w:rPr>
                <w:rFonts w:ascii="Times New Roman" w:hAnsi="Times New Roman" w:cs="Times New Roman"/>
              </w:rPr>
            </w:pPr>
          </w:p>
        </w:tc>
      </w:tr>
      <w:tr w:rsidR="00A316C6" w:rsidRPr="00A316C6" w:rsidTr="00A316C6">
        <w:tc>
          <w:tcPr>
            <w:tcW w:w="4225" w:type="dxa"/>
            <w:tcBorders>
              <w:top w:val="nil"/>
              <w:left w:val="single" w:sz="4" w:space="0" w:color="auto"/>
            </w:tcBorders>
          </w:tcPr>
          <w:p w:rsidR="00A316C6" w:rsidRPr="00A316C6" w:rsidRDefault="00A316C6" w:rsidP="00A316C6">
            <w:pPr>
              <w:rPr>
                <w:rFonts w:ascii="Times New Roman" w:hAnsi="Times New Roman" w:cs="Times New Roman"/>
              </w:rPr>
            </w:pPr>
            <w:r w:rsidRPr="00A316C6">
              <w:rPr>
                <w:rFonts w:ascii="Times New Roman" w:hAnsi="Times New Roman" w:cs="Times New Roman"/>
              </w:rPr>
              <w:tab/>
              <w:t>Annual arithmetic mean</w:t>
            </w:r>
          </w:p>
        </w:tc>
        <w:tc>
          <w:tcPr>
            <w:tcW w:w="3420" w:type="dxa"/>
            <w:tcBorders>
              <w:top w:val="nil"/>
              <w:right w:val="single" w:sz="4" w:space="0" w:color="auto"/>
            </w:tcBorders>
          </w:tcPr>
          <w:p w:rsidR="00A316C6" w:rsidRPr="00A316C6" w:rsidRDefault="00A316C6" w:rsidP="00A316C6">
            <w:pPr>
              <w:jc w:val="center"/>
              <w:rPr>
                <w:rFonts w:ascii="Times New Roman" w:hAnsi="Times New Roman" w:cs="Times New Roman"/>
              </w:rPr>
            </w:pPr>
            <w:r w:rsidRPr="00A316C6">
              <w:rPr>
                <w:rFonts w:ascii="Times New Roman" w:hAnsi="Times New Roman" w:cs="Times New Roman"/>
              </w:rPr>
              <w:t>25</w:t>
            </w:r>
          </w:p>
        </w:tc>
      </w:tr>
    </w:tbl>
    <w:p w:rsidR="00A316C6" w:rsidRPr="00A316C6" w:rsidRDefault="00A316C6" w:rsidP="00A316C6"/>
    <w:p w:rsidR="00A316C6" w:rsidRPr="00A316C6" w:rsidRDefault="00CB099C" w:rsidP="00A316C6">
      <w:pPr>
        <w:ind w:left="1440" w:hanging="720"/>
      </w:pPr>
      <w:r>
        <w:t>f)</w:t>
      </w:r>
      <w:r>
        <w:tab/>
        <w:t>Sulfur Dioxide V</w:t>
      </w:r>
      <w:r w:rsidR="00A316C6" w:rsidRPr="00A316C6">
        <w:t xml:space="preserve">ariance by Governor with </w:t>
      </w:r>
      <w:r>
        <w:t>Federal Land Manager's C</w:t>
      </w:r>
      <w:r w:rsidR="00A316C6" w:rsidRPr="00A316C6">
        <w:t xml:space="preserve">oncurrence. The owner or operator of a proposed source or modification </w:t>
      </w:r>
      <w:r>
        <w:t>that</w:t>
      </w:r>
      <w:r w:rsidR="00A316C6" w:rsidRPr="00A316C6">
        <w:t xml:space="preserve"> cannot be approved under subsection (e) may demonstrate to the Governor that the source cannot be constructed by reason of any maximum allowable increase for SO</w:t>
      </w:r>
      <w:r w:rsidR="00A316C6" w:rsidRPr="00A316C6">
        <w:rPr>
          <w:vertAlign w:val="subscript"/>
        </w:rPr>
        <w:t>2</w:t>
      </w:r>
      <w:r w:rsidR="00A316C6" w:rsidRPr="00A316C6">
        <w:t xml:space="preserve"> for a period of 24 hours or less applicable to any Cl</w:t>
      </w:r>
      <w:r>
        <w:t>ass I area and, in the case of f</w:t>
      </w:r>
      <w:r w:rsidR="00A316C6" w:rsidRPr="00A316C6">
        <w:t xml:space="preserve">ederal mandatory Class I areas, that a variance under this </w:t>
      </w:r>
      <w:r>
        <w:t>subsection</w:t>
      </w:r>
      <w:r w:rsidR="00A316C6" w:rsidRPr="00A316C6">
        <w:t xml:space="preserve"> would not adversely affect the air quality related values of the area (including visibility).  The Governor, after consideration of the Federal Land Manager's recommendation (if any) and subject to his </w:t>
      </w:r>
      <w:r>
        <w:t xml:space="preserve">or her </w:t>
      </w:r>
      <w:r w:rsidR="00A316C6" w:rsidRPr="00A316C6">
        <w:t xml:space="preserve">concurrence, may, after notice and public hearing, grant a variance from </w:t>
      </w:r>
      <w:r w:rsidR="0068290C">
        <w:t>such</w:t>
      </w:r>
      <w:r w:rsidR="00A316C6" w:rsidRPr="00A316C6">
        <w:t xml:space="preserve"> maximum allowable increase.  If </w:t>
      </w:r>
      <w:r w:rsidR="0068290C">
        <w:t>such</w:t>
      </w:r>
      <w:r w:rsidR="00A316C6" w:rsidRPr="00A316C6">
        <w:t xml:space="preserve"> variance is granted, the </w:t>
      </w:r>
      <w:r>
        <w:t>Agency</w:t>
      </w:r>
      <w:r w:rsidR="00A316C6" w:rsidRPr="00A316C6">
        <w:t xml:space="preserve"> </w:t>
      </w:r>
      <w:r w:rsidR="00BD75B2">
        <w:t>shall</w:t>
      </w:r>
      <w:r w:rsidR="00A316C6" w:rsidRPr="00A316C6">
        <w:t xml:space="preserve"> issue a permit </w:t>
      </w:r>
      <w:r w:rsidR="003E506D">
        <w:t>to such</w:t>
      </w:r>
      <w:r w:rsidR="00A316C6" w:rsidRPr="00A316C6">
        <w:t xml:space="preserve"> source or modification under subsection (h), provided that the applicable requirements of this Part are otherwise met.</w:t>
      </w:r>
    </w:p>
    <w:p w:rsidR="00A316C6" w:rsidRPr="00A316C6" w:rsidRDefault="00A316C6" w:rsidP="00A316C6"/>
    <w:p w:rsidR="00A316C6" w:rsidRPr="00A316C6" w:rsidRDefault="00A316C6" w:rsidP="00A316C6">
      <w:pPr>
        <w:ind w:left="1440" w:hanging="720"/>
      </w:pPr>
      <w:r w:rsidRPr="00A316C6">
        <w:t>g)</w:t>
      </w:r>
      <w:r w:rsidRPr="00A316C6">
        <w:tab/>
        <w:t>Variance by the</w:t>
      </w:r>
      <w:r w:rsidR="00CB099C">
        <w:t xml:space="preserve"> Governor with the President's C</w:t>
      </w:r>
      <w:r w:rsidRPr="00A316C6">
        <w:t xml:space="preserve">oncurrence.  In any case </w:t>
      </w:r>
      <w:r w:rsidR="00CB099C">
        <w:t>in which</w:t>
      </w:r>
      <w:r w:rsidRPr="00A316C6">
        <w:t xml:space="preserve"> the Governor recommends a variance in which the Federal Land Manager does not concur, the recommendations of the Governor and the Federal Land Manager </w:t>
      </w:r>
      <w:r w:rsidR="00CB099C">
        <w:t>shall</w:t>
      </w:r>
      <w:r w:rsidRPr="00A316C6">
        <w:t xml:space="preserve"> be transmitted to the President.  The President may approve the Governor's recommendation if the President finds that the variance is in the national interest.  </w:t>
      </w:r>
      <w:r w:rsidRPr="00A316C6">
        <w:lastRenderedPageBreak/>
        <w:t xml:space="preserve">If the variance is approved, the </w:t>
      </w:r>
      <w:r w:rsidR="00CB099C">
        <w:t>Agency</w:t>
      </w:r>
      <w:r w:rsidRPr="00A316C6">
        <w:t xml:space="preserve"> </w:t>
      </w:r>
      <w:r w:rsidR="00CB099C">
        <w:t>shall</w:t>
      </w:r>
      <w:r w:rsidRPr="00A316C6">
        <w:t xml:space="preserve"> issue a permit under subsection (h), provided that the applicable requirements of this Part are otherwise met.</w:t>
      </w:r>
    </w:p>
    <w:p w:rsidR="00A316C6" w:rsidRPr="00A316C6" w:rsidRDefault="00A316C6" w:rsidP="00A316C6"/>
    <w:p w:rsidR="00A316C6" w:rsidRPr="00A316C6" w:rsidRDefault="00A316C6" w:rsidP="00A316C6">
      <w:pPr>
        <w:ind w:left="1440" w:hanging="720"/>
      </w:pPr>
      <w:r w:rsidRPr="00A316C6">
        <w:t>h)</w:t>
      </w:r>
      <w:r w:rsidRPr="00A316C6">
        <w:tab/>
        <w:t>Emission</w:t>
      </w:r>
      <w:r w:rsidR="00CB099C">
        <w:t>s L</w:t>
      </w:r>
      <w:r w:rsidRPr="00A316C6">
        <w:t xml:space="preserve">imitations for Presidential or </w:t>
      </w:r>
      <w:r w:rsidR="00CB099C">
        <w:t>G</w:t>
      </w:r>
      <w:r w:rsidRPr="00A316C6">
        <w:t xml:space="preserve">ubernatorial </w:t>
      </w:r>
      <w:r w:rsidR="00CB099C">
        <w:t>V</w:t>
      </w:r>
      <w:r w:rsidRPr="00A316C6">
        <w:t>ariance.  In the case of a permit issued under subsection (f) or (g)</w:t>
      </w:r>
      <w:r w:rsidR="00CB099C">
        <w:t>,</w:t>
      </w:r>
      <w:r w:rsidRPr="00A316C6">
        <w:t xml:space="preserve"> the source or modification </w:t>
      </w:r>
      <w:r w:rsidR="0068290C">
        <w:t>shall</w:t>
      </w:r>
      <w:r w:rsidRPr="00A316C6">
        <w:t xml:space="preserve"> comply with such emission limitations as may be necessary to assure that emissions of SO</w:t>
      </w:r>
      <w:r w:rsidRPr="00A316C6">
        <w:rPr>
          <w:vertAlign w:val="subscript"/>
        </w:rPr>
        <w:t>2</w:t>
      </w:r>
      <w:r w:rsidRPr="00A316C6">
        <w:t xml:space="preserve"> from the source or modification would not (during any day on which the otherwise applicable maximum allowable increases are exceeded) cause or contribute to concentrations </w:t>
      </w:r>
      <w:r w:rsidR="00CB099C">
        <w:t>that</w:t>
      </w:r>
      <w:r w:rsidRPr="00A316C6">
        <w:t xml:space="preserve"> would exceed the following maximum allowable increases over the baseline concentration and to assure that </w:t>
      </w:r>
      <w:r w:rsidR="0068290C">
        <w:t>such</w:t>
      </w:r>
      <w:r w:rsidRPr="00A316C6">
        <w:t xml:space="preserve"> emissions would not cause or contribute to concentrations </w:t>
      </w:r>
      <w:r w:rsidR="00CB099C">
        <w:t>that</w:t>
      </w:r>
      <w:r w:rsidRPr="00A316C6">
        <w:t xml:space="preserve"> exceed the otherwise applicable maximum allowable increases for periods of exposure of 24 hours or less for more than 18 days, not necessarily consecutive, during any annual period:</w:t>
      </w:r>
    </w:p>
    <w:p w:rsidR="00A316C6" w:rsidRPr="00A316C6" w:rsidRDefault="00A316C6" w:rsidP="00A316C6"/>
    <w:tbl>
      <w:tblPr>
        <w:tblStyle w:val="TableGrid"/>
        <w:tblW w:w="0" w:type="auto"/>
        <w:tblInd w:w="1435" w:type="dxa"/>
        <w:tblBorders>
          <w:left w:val="none" w:sz="0" w:space="0" w:color="auto"/>
          <w:right w:val="none" w:sz="0" w:space="0" w:color="auto"/>
        </w:tblBorders>
        <w:tblLook w:val="04A0" w:firstRow="1" w:lastRow="0" w:firstColumn="1" w:lastColumn="0" w:noHBand="0" w:noVBand="1"/>
      </w:tblPr>
      <w:tblGrid>
        <w:gridCol w:w="3497"/>
        <w:gridCol w:w="1620"/>
        <w:gridCol w:w="1890"/>
      </w:tblGrid>
      <w:tr w:rsidR="00A316C6" w:rsidRPr="00A316C6" w:rsidTr="00A316C6">
        <w:tc>
          <w:tcPr>
            <w:tcW w:w="7007" w:type="dxa"/>
            <w:gridSpan w:val="3"/>
            <w:tcBorders>
              <w:top w:val="single" w:sz="4" w:space="0" w:color="auto"/>
              <w:left w:val="single" w:sz="4" w:space="0" w:color="auto"/>
              <w:right w:val="single" w:sz="4" w:space="0" w:color="auto"/>
            </w:tcBorders>
          </w:tcPr>
          <w:p w:rsidR="00A316C6" w:rsidRPr="00A316C6" w:rsidRDefault="00A316C6" w:rsidP="00693A0D">
            <w:pPr>
              <w:widowControl w:val="0"/>
              <w:jc w:val="center"/>
              <w:rPr>
                <w:rFonts w:ascii="Times New Roman" w:hAnsi="Times New Roman" w:cs="Times New Roman"/>
              </w:rPr>
            </w:pPr>
            <w:r w:rsidRPr="00A316C6">
              <w:rPr>
                <w:rFonts w:ascii="Times New Roman" w:hAnsi="Times New Roman" w:cs="Times New Roman"/>
              </w:rPr>
              <w:t>MAXIMUM ALLOWABLE INCREASE</w:t>
            </w:r>
          </w:p>
          <w:p w:rsidR="00A316C6" w:rsidRPr="00A316C6" w:rsidRDefault="00CB099C" w:rsidP="00693A0D">
            <w:pPr>
              <w:widowControl w:val="0"/>
              <w:jc w:val="center"/>
              <w:rPr>
                <w:rFonts w:ascii="Times New Roman" w:hAnsi="Times New Roman" w:cs="Times New Roman"/>
              </w:rPr>
            </w:pPr>
            <w:r>
              <w:rPr>
                <w:rFonts w:ascii="Times New Roman" w:hAnsi="Times New Roman" w:cs="Times New Roman"/>
              </w:rPr>
              <w:t>(</w:t>
            </w:r>
            <w:r w:rsidR="00A316C6" w:rsidRPr="00A316C6">
              <w:rPr>
                <w:rFonts w:ascii="Times New Roman" w:hAnsi="Times New Roman" w:cs="Times New Roman"/>
              </w:rPr>
              <w:t>Micrograms per cubic meter</w:t>
            </w:r>
            <w:r>
              <w:rPr>
                <w:rFonts w:ascii="Times New Roman" w:hAnsi="Times New Roman" w:cs="Times New Roman"/>
              </w:rPr>
              <w:t>)</w:t>
            </w:r>
          </w:p>
        </w:tc>
      </w:tr>
      <w:tr w:rsidR="00BD75B2" w:rsidRPr="00A316C6" w:rsidTr="00BD75B2">
        <w:trPr>
          <w:trHeight w:val="422"/>
        </w:trPr>
        <w:tc>
          <w:tcPr>
            <w:tcW w:w="3497" w:type="dxa"/>
            <w:tcBorders>
              <w:left w:val="single" w:sz="4" w:space="0" w:color="auto"/>
            </w:tcBorders>
            <w:vAlign w:val="bottom"/>
          </w:tcPr>
          <w:p w:rsidR="00BD75B2" w:rsidRPr="00A316C6" w:rsidRDefault="00BD75B2" w:rsidP="00BD75B2">
            <w:pPr>
              <w:widowControl w:val="0"/>
              <w:jc w:val="center"/>
              <w:rPr>
                <w:rFonts w:ascii="Times New Roman" w:hAnsi="Times New Roman" w:cs="Times New Roman"/>
              </w:rPr>
            </w:pPr>
            <w:r w:rsidRPr="00A316C6">
              <w:rPr>
                <w:rFonts w:ascii="Times New Roman" w:hAnsi="Times New Roman" w:cs="Times New Roman"/>
              </w:rPr>
              <w:t>Period of exposure</w:t>
            </w:r>
          </w:p>
        </w:tc>
        <w:tc>
          <w:tcPr>
            <w:tcW w:w="1620" w:type="dxa"/>
            <w:tcBorders>
              <w:right w:val="single" w:sz="4" w:space="0" w:color="auto"/>
            </w:tcBorders>
            <w:vAlign w:val="bottom"/>
          </w:tcPr>
          <w:p w:rsidR="00BD75B2" w:rsidRPr="00A316C6" w:rsidRDefault="00BD75B2" w:rsidP="00BD75B2">
            <w:pPr>
              <w:widowControl w:val="0"/>
              <w:jc w:val="center"/>
            </w:pPr>
            <w:r w:rsidRPr="00A316C6">
              <w:rPr>
                <w:rFonts w:ascii="Times New Roman" w:hAnsi="Times New Roman" w:cs="Times New Roman"/>
              </w:rPr>
              <w:t>Low Terrain</w:t>
            </w:r>
          </w:p>
        </w:tc>
        <w:tc>
          <w:tcPr>
            <w:tcW w:w="1890" w:type="dxa"/>
            <w:tcBorders>
              <w:right w:val="single" w:sz="4" w:space="0" w:color="auto"/>
            </w:tcBorders>
            <w:vAlign w:val="bottom"/>
          </w:tcPr>
          <w:p w:rsidR="00BD75B2" w:rsidRPr="00A316C6" w:rsidRDefault="00BD75B2" w:rsidP="00BD75B2">
            <w:pPr>
              <w:widowControl w:val="0"/>
              <w:jc w:val="center"/>
              <w:rPr>
                <w:rFonts w:ascii="Times New Roman" w:hAnsi="Times New Roman" w:cs="Times New Roman"/>
              </w:rPr>
            </w:pPr>
            <w:r w:rsidRPr="00A316C6">
              <w:rPr>
                <w:rFonts w:ascii="Times New Roman" w:hAnsi="Times New Roman" w:cs="Times New Roman"/>
              </w:rPr>
              <w:t>High Terrain</w:t>
            </w:r>
          </w:p>
        </w:tc>
      </w:tr>
      <w:tr w:rsidR="00A316C6" w:rsidRPr="00A316C6" w:rsidTr="00A316C6">
        <w:tc>
          <w:tcPr>
            <w:tcW w:w="3497" w:type="dxa"/>
            <w:tcBorders>
              <w:top w:val="nil"/>
              <w:left w:val="single" w:sz="4" w:space="0" w:color="auto"/>
              <w:bottom w:val="nil"/>
            </w:tcBorders>
          </w:tcPr>
          <w:p w:rsidR="00A316C6" w:rsidRPr="00A316C6" w:rsidRDefault="00A316C6" w:rsidP="00693A0D">
            <w:pPr>
              <w:widowControl w:val="0"/>
              <w:rPr>
                <w:rFonts w:ascii="Times New Roman" w:hAnsi="Times New Roman" w:cs="Times New Roman"/>
              </w:rPr>
            </w:pPr>
            <w:r w:rsidRPr="00A316C6">
              <w:rPr>
                <w:rFonts w:ascii="Times New Roman" w:hAnsi="Times New Roman" w:cs="Times New Roman"/>
              </w:rPr>
              <w:t>24-hr maximum</w:t>
            </w:r>
          </w:p>
        </w:tc>
        <w:tc>
          <w:tcPr>
            <w:tcW w:w="1620" w:type="dxa"/>
            <w:tcBorders>
              <w:top w:val="nil"/>
              <w:bottom w:val="nil"/>
            </w:tcBorders>
          </w:tcPr>
          <w:p w:rsidR="00A316C6" w:rsidRPr="00A316C6" w:rsidRDefault="00A316C6" w:rsidP="00693A0D">
            <w:pPr>
              <w:widowControl w:val="0"/>
              <w:jc w:val="center"/>
              <w:rPr>
                <w:rFonts w:ascii="Times New Roman" w:hAnsi="Times New Roman" w:cs="Times New Roman"/>
              </w:rPr>
            </w:pPr>
            <w:r w:rsidRPr="00A316C6">
              <w:rPr>
                <w:rFonts w:ascii="Times New Roman" w:hAnsi="Times New Roman" w:cs="Times New Roman"/>
              </w:rPr>
              <w:t>36</w:t>
            </w:r>
          </w:p>
        </w:tc>
        <w:tc>
          <w:tcPr>
            <w:tcW w:w="1890" w:type="dxa"/>
            <w:tcBorders>
              <w:top w:val="nil"/>
              <w:bottom w:val="nil"/>
              <w:right w:val="single" w:sz="4" w:space="0" w:color="auto"/>
            </w:tcBorders>
          </w:tcPr>
          <w:p w:rsidR="00A316C6" w:rsidRPr="00A316C6" w:rsidRDefault="00A316C6" w:rsidP="00693A0D">
            <w:pPr>
              <w:widowControl w:val="0"/>
              <w:jc w:val="center"/>
              <w:rPr>
                <w:rFonts w:ascii="Times New Roman" w:hAnsi="Times New Roman" w:cs="Times New Roman"/>
              </w:rPr>
            </w:pPr>
            <w:r w:rsidRPr="00A316C6">
              <w:rPr>
                <w:rFonts w:ascii="Times New Roman" w:hAnsi="Times New Roman" w:cs="Times New Roman"/>
              </w:rPr>
              <w:t>62</w:t>
            </w:r>
          </w:p>
        </w:tc>
      </w:tr>
      <w:tr w:rsidR="00A316C6" w:rsidRPr="00A316C6" w:rsidTr="00A316C6">
        <w:tc>
          <w:tcPr>
            <w:tcW w:w="3497" w:type="dxa"/>
            <w:tcBorders>
              <w:top w:val="nil"/>
              <w:left w:val="single" w:sz="4" w:space="0" w:color="auto"/>
              <w:bottom w:val="single" w:sz="4" w:space="0" w:color="auto"/>
            </w:tcBorders>
          </w:tcPr>
          <w:p w:rsidR="00A316C6" w:rsidRPr="00A316C6" w:rsidRDefault="00A316C6" w:rsidP="00693A0D">
            <w:pPr>
              <w:widowControl w:val="0"/>
              <w:rPr>
                <w:rFonts w:ascii="Times New Roman" w:hAnsi="Times New Roman" w:cs="Times New Roman"/>
              </w:rPr>
            </w:pPr>
            <w:r w:rsidRPr="00A316C6">
              <w:rPr>
                <w:rFonts w:ascii="Times New Roman" w:hAnsi="Times New Roman" w:cs="Times New Roman"/>
              </w:rPr>
              <w:t>3-hr maximum</w:t>
            </w:r>
          </w:p>
        </w:tc>
        <w:tc>
          <w:tcPr>
            <w:tcW w:w="1620" w:type="dxa"/>
            <w:tcBorders>
              <w:top w:val="nil"/>
              <w:bottom w:val="single" w:sz="4" w:space="0" w:color="auto"/>
            </w:tcBorders>
          </w:tcPr>
          <w:p w:rsidR="00A316C6" w:rsidRPr="00A316C6" w:rsidRDefault="00A316C6" w:rsidP="00693A0D">
            <w:pPr>
              <w:widowControl w:val="0"/>
              <w:jc w:val="center"/>
              <w:rPr>
                <w:rFonts w:ascii="Times New Roman" w:hAnsi="Times New Roman" w:cs="Times New Roman"/>
              </w:rPr>
            </w:pPr>
            <w:r w:rsidRPr="00A316C6">
              <w:rPr>
                <w:rFonts w:ascii="Times New Roman" w:hAnsi="Times New Roman" w:cs="Times New Roman"/>
              </w:rPr>
              <w:t>130</w:t>
            </w:r>
          </w:p>
        </w:tc>
        <w:tc>
          <w:tcPr>
            <w:tcW w:w="1890" w:type="dxa"/>
            <w:tcBorders>
              <w:top w:val="nil"/>
              <w:bottom w:val="single" w:sz="4" w:space="0" w:color="auto"/>
              <w:right w:val="single" w:sz="4" w:space="0" w:color="auto"/>
            </w:tcBorders>
          </w:tcPr>
          <w:p w:rsidR="00A316C6" w:rsidRPr="00A316C6" w:rsidRDefault="00A316C6" w:rsidP="00693A0D">
            <w:pPr>
              <w:widowControl w:val="0"/>
              <w:tabs>
                <w:tab w:val="center" w:pos="837"/>
                <w:tab w:val="left" w:pos="1634"/>
              </w:tabs>
              <w:jc w:val="center"/>
              <w:rPr>
                <w:rFonts w:ascii="Times New Roman" w:hAnsi="Times New Roman" w:cs="Times New Roman"/>
              </w:rPr>
            </w:pPr>
            <w:r w:rsidRPr="00A316C6">
              <w:rPr>
                <w:rFonts w:ascii="Times New Roman" w:hAnsi="Times New Roman" w:cs="Times New Roman"/>
              </w:rPr>
              <w:t>221</w:t>
            </w:r>
          </w:p>
        </w:tc>
      </w:tr>
    </w:tbl>
    <w:p w:rsidR="00A316C6" w:rsidRPr="00A316C6" w:rsidRDefault="00A316C6" w:rsidP="00952E7F">
      <w:pPr>
        <w:widowControl w:val="0"/>
      </w:pPr>
      <w:bookmarkStart w:id="0" w:name="_GoBack"/>
      <w:bookmarkEnd w:id="0"/>
    </w:p>
    <w:sectPr w:rsidR="00A316C6" w:rsidRPr="00A316C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FCB" w:rsidRDefault="00920FCB">
      <w:r>
        <w:separator/>
      </w:r>
    </w:p>
  </w:endnote>
  <w:endnote w:type="continuationSeparator" w:id="0">
    <w:p w:rsidR="00920FCB" w:rsidRDefault="00920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FCB" w:rsidRDefault="00920FCB">
      <w:r>
        <w:separator/>
      </w:r>
    </w:p>
  </w:footnote>
  <w:footnote w:type="continuationSeparator" w:id="0">
    <w:p w:rsidR="00920FCB" w:rsidRDefault="00920F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FC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63D7"/>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506D"/>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05BE"/>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05D8A"/>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290C"/>
    <w:rsid w:val="00685500"/>
    <w:rsid w:val="006861B7"/>
    <w:rsid w:val="00691405"/>
    <w:rsid w:val="00692220"/>
    <w:rsid w:val="006932A1"/>
    <w:rsid w:val="0069341B"/>
    <w:rsid w:val="00693A0D"/>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0FCB"/>
    <w:rsid w:val="00921F8B"/>
    <w:rsid w:val="00922286"/>
    <w:rsid w:val="00931CDC"/>
    <w:rsid w:val="00934057"/>
    <w:rsid w:val="0093513C"/>
    <w:rsid w:val="00935A8C"/>
    <w:rsid w:val="00944E3D"/>
    <w:rsid w:val="00947AC3"/>
    <w:rsid w:val="00950386"/>
    <w:rsid w:val="00952E7F"/>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6C6"/>
    <w:rsid w:val="00A3182D"/>
    <w:rsid w:val="00A319B1"/>
    <w:rsid w:val="00A31B74"/>
    <w:rsid w:val="00A327AB"/>
    <w:rsid w:val="00A3646E"/>
    <w:rsid w:val="00A42797"/>
    <w:rsid w:val="00A42F61"/>
    <w:rsid w:val="00A45800"/>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D75B2"/>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099C"/>
    <w:rsid w:val="00CB1C46"/>
    <w:rsid w:val="00CB1E0E"/>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452"/>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C1E3E7-C5F5-4751-BACF-A03F509BB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6C6"/>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 w:type="table" w:styleId="TableGrid">
    <w:name w:val="Table Grid"/>
    <w:basedOn w:val="TableNormal"/>
    <w:uiPriority w:val="59"/>
    <w:rsid w:val="00A316C6"/>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1025</Words>
  <Characters>5540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13</cp:revision>
  <dcterms:created xsi:type="dcterms:W3CDTF">2020-03-09T15:29:00Z</dcterms:created>
  <dcterms:modified xsi:type="dcterms:W3CDTF">2020-09-15T19:08:00Z</dcterms:modified>
</cp:coreProperties>
</file>