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7185" w14:textId="77777777" w:rsidR="00777967" w:rsidRPr="009B5047" w:rsidRDefault="00777967" w:rsidP="00723963"/>
    <w:p w14:paraId="2D54D11C" w14:textId="77777777" w:rsidR="00777967" w:rsidRPr="0076703F" w:rsidRDefault="00777967" w:rsidP="00777967">
      <w:pPr>
        <w:rPr>
          <w:b/>
          <w:bCs/>
        </w:rPr>
      </w:pPr>
      <w:bookmarkStart w:id="0" w:name="_Toc77938154"/>
      <w:r w:rsidRPr="0076703F">
        <w:rPr>
          <w:b/>
          <w:bCs/>
        </w:rPr>
        <w:t>Section 203.2510  Criteria</w:t>
      </w:r>
      <w:bookmarkEnd w:id="0"/>
    </w:p>
    <w:p w14:paraId="29E6F830" w14:textId="77777777" w:rsidR="00777967" w:rsidRPr="009B5047" w:rsidRDefault="00777967" w:rsidP="00777967"/>
    <w:p w14:paraId="1CCC1B30" w14:textId="005A7906" w:rsidR="00777967" w:rsidRPr="0076703F" w:rsidRDefault="00777967" w:rsidP="00777967">
      <w:r w:rsidRPr="0076703F">
        <w:t xml:space="preserve">For this Subpart, the emissions from a new major stationary source or major modification will be considered to cause or contribute to a violation of a </w:t>
      </w:r>
      <w:proofErr w:type="spellStart"/>
      <w:r w:rsidRPr="0076703F">
        <w:t>NAAQS</w:t>
      </w:r>
      <w:proofErr w:type="spellEnd"/>
      <w:r w:rsidRPr="0076703F">
        <w:t xml:space="preserve"> if </w:t>
      </w:r>
      <w:r w:rsidR="00A63567">
        <w:t>such</w:t>
      </w:r>
      <w:r w:rsidRPr="0076703F">
        <w:t xml:space="preserve"> source or modification would exceed the following significance levels at any locality that does not or would not meet the applicable </w:t>
      </w:r>
      <w:proofErr w:type="spellStart"/>
      <w:r w:rsidRPr="0076703F">
        <w:t>NAAQS</w:t>
      </w:r>
      <w:proofErr w:type="spellEnd"/>
      <w:r w:rsidRPr="0076703F">
        <w:t xml:space="preserve">. </w:t>
      </w:r>
    </w:p>
    <w:p w14:paraId="5D3BBA6E" w14:textId="77777777" w:rsidR="00777967" w:rsidRPr="005C48CE" w:rsidRDefault="00777967" w:rsidP="00777967"/>
    <w:tbl>
      <w:tblPr>
        <w:tblW w:w="0" w:type="auto"/>
        <w:tblInd w:w="540" w:type="dxa"/>
        <w:tblLook w:val="0000" w:firstRow="0" w:lastRow="0" w:firstColumn="0" w:lastColumn="0" w:noHBand="0" w:noVBand="0"/>
      </w:tblPr>
      <w:tblGrid>
        <w:gridCol w:w="1301"/>
        <w:gridCol w:w="1301"/>
        <w:gridCol w:w="1302"/>
        <w:gridCol w:w="1244"/>
        <w:gridCol w:w="1260"/>
        <w:gridCol w:w="1296"/>
      </w:tblGrid>
      <w:tr w:rsidR="00E44360" w:rsidRPr="00723963" w14:paraId="2546820A" w14:textId="77777777" w:rsidTr="00E44360">
        <w:trPr>
          <w:trHeight w:val="567"/>
        </w:trPr>
        <w:tc>
          <w:tcPr>
            <w:tcW w:w="1301" w:type="dxa"/>
            <w:vAlign w:val="center"/>
          </w:tcPr>
          <w:p w14:paraId="601F42FB" w14:textId="77777777" w:rsidR="00E44360" w:rsidRPr="00723963" w:rsidRDefault="00E44360" w:rsidP="00E44360">
            <w:pPr>
              <w:tabs>
                <w:tab w:val="left" w:pos="1670"/>
              </w:tabs>
              <w:ind w:left="55" w:right="-105"/>
              <w:contextualSpacing/>
            </w:pPr>
            <w:r w:rsidRPr="00723963">
              <w:t>Pollutant</w:t>
            </w:r>
          </w:p>
        </w:tc>
        <w:tc>
          <w:tcPr>
            <w:tcW w:w="6403" w:type="dxa"/>
            <w:gridSpan w:val="5"/>
            <w:vAlign w:val="center"/>
          </w:tcPr>
          <w:p w14:paraId="51181E12" w14:textId="23915A0E" w:rsidR="00E44360" w:rsidRPr="0007612C" w:rsidRDefault="00E44360" w:rsidP="00E44360">
            <w:pPr>
              <w:ind w:left="-130" w:right="-88"/>
              <w:contextualSpacing/>
              <w:jc w:val="center"/>
            </w:pPr>
            <w:r w:rsidRPr="0007612C">
              <w:t>Significant Level (</w:t>
            </w:r>
            <w:proofErr w:type="spellStart"/>
            <w:r w:rsidRPr="0007612C">
              <w:rPr>
                <w:rFonts w:hint="eastAsia"/>
              </w:rPr>
              <w:t>μ</w:t>
            </w:r>
            <w:r w:rsidRPr="0007612C">
              <w:t>g</w:t>
            </w:r>
            <w:proofErr w:type="spellEnd"/>
            <w:r w:rsidRPr="0007612C">
              <w:t>/</w:t>
            </w:r>
            <w:proofErr w:type="spellStart"/>
            <w:r w:rsidRPr="0007612C">
              <w:t>m</w:t>
            </w:r>
            <w:r w:rsidRPr="0007612C">
              <w:rPr>
                <w:vertAlign w:val="superscript"/>
              </w:rPr>
              <w:t>3</w:t>
            </w:r>
            <w:proofErr w:type="spellEnd"/>
            <w:r w:rsidRPr="0007612C">
              <w:t>)</w:t>
            </w:r>
          </w:p>
        </w:tc>
      </w:tr>
      <w:tr w:rsidR="00E44360" w:rsidRPr="00723963" w14:paraId="274FAB4B" w14:textId="77777777" w:rsidTr="00E44360">
        <w:trPr>
          <w:trHeight w:val="552"/>
        </w:trPr>
        <w:tc>
          <w:tcPr>
            <w:tcW w:w="1301" w:type="dxa"/>
          </w:tcPr>
          <w:p w14:paraId="1CF789E2" w14:textId="77777777" w:rsidR="00E44360" w:rsidRPr="005C48CE" w:rsidRDefault="00E44360" w:rsidP="0007612C">
            <w:pPr>
              <w:ind w:left="-106" w:right="-89"/>
              <w:contextualSpacing/>
            </w:pPr>
          </w:p>
        </w:tc>
        <w:tc>
          <w:tcPr>
            <w:tcW w:w="1301" w:type="dxa"/>
            <w:vAlign w:val="center"/>
          </w:tcPr>
          <w:p w14:paraId="5F716B2E" w14:textId="56238CBE" w:rsidR="00E44360" w:rsidRPr="00E44360" w:rsidRDefault="00E44360" w:rsidP="0007612C">
            <w:pPr>
              <w:ind w:left="-120" w:right="-102"/>
              <w:contextualSpacing/>
              <w:jc w:val="center"/>
              <w:rPr>
                <w:u w:val="single"/>
              </w:rPr>
            </w:pPr>
            <w:r w:rsidRPr="00E44360">
              <w:rPr>
                <w:u w:val="single"/>
              </w:rPr>
              <w:t>Annual Average</w:t>
            </w:r>
          </w:p>
        </w:tc>
        <w:tc>
          <w:tcPr>
            <w:tcW w:w="1302" w:type="dxa"/>
            <w:vAlign w:val="center"/>
          </w:tcPr>
          <w:p w14:paraId="1D29B9E0" w14:textId="70903B38" w:rsidR="00E44360" w:rsidRPr="00E44360" w:rsidRDefault="00E44360" w:rsidP="0007612C">
            <w:pPr>
              <w:ind w:left="-98" w:right="-109"/>
              <w:contextualSpacing/>
              <w:jc w:val="center"/>
              <w:rPr>
                <w:u w:val="single"/>
              </w:rPr>
            </w:pPr>
            <w:r w:rsidRPr="00E44360">
              <w:rPr>
                <w:u w:val="single"/>
              </w:rPr>
              <w:t>24-hour Average</w:t>
            </w:r>
          </w:p>
        </w:tc>
        <w:tc>
          <w:tcPr>
            <w:tcW w:w="1244" w:type="dxa"/>
          </w:tcPr>
          <w:p w14:paraId="64CC8B02" w14:textId="608FA124" w:rsidR="00E44360" w:rsidRPr="00E44360" w:rsidRDefault="00E44360" w:rsidP="0007612C">
            <w:pPr>
              <w:tabs>
                <w:tab w:val="left" w:pos="1670"/>
              </w:tabs>
              <w:ind w:left="-110" w:right="-105"/>
              <w:contextualSpacing/>
              <w:jc w:val="center"/>
              <w:rPr>
                <w:u w:val="single"/>
              </w:rPr>
            </w:pPr>
            <w:r w:rsidRPr="00E44360">
              <w:rPr>
                <w:u w:val="single"/>
              </w:rPr>
              <w:t>8-hour Average</w:t>
            </w:r>
          </w:p>
        </w:tc>
        <w:tc>
          <w:tcPr>
            <w:tcW w:w="1260" w:type="dxa"/>
            <w:vAlign w:val="center"/>
          </w:tcPr>
          <w:p w14:paraId="15FDB441" w14:textId="17664FC1" w:rsidR="00E44360" w:rsidRPr="00E44360" w:rsidRDefault="00E44360" w:rsidP="0007612C">
            <w:pPr>
              <w:tabs>
                <w:tab w:val="left" w:pos="1670"/>
              </w:tabs>
              <w:ind w:left="-121" w:right="-92"/>
              <w:contextualSpacing/>
              <w:jc w:val="center"/>
              <w:rPr>
                <w:u w:val="single"/>
              </w:rPr>
            </w:pPr>
            <w:r w:rsidRPr="00E44360">
              <w:rPr>
                <w:u w:val="single"/>
              </w:rPr>
              <w:t>3-hour Average</w:t>
            </w:r>
          </w:p>
        </w:tc>
        <w:tc>
          <w:tcPr>
            <w:tcW w:w="1296" w:type="dxa"/>
            <w:vAlign w:val="center"/>
          </w:tcPr>
          <w:p w14:paraId="40F8E400" w14:textId="7FD98425" w:rsidR="00E44360" w:rsidRPr="00E44360" w:rsidRDefault="00E44360" w:rsidP="0007612C">
            <w:pPr>
              <w:ind w:left="-108" w:right="-115"/>
              <w:contextualSpacing/>
              <w:jc w:val="center"/>
              <w:rPr>
                <w:u w:val="single"/>
              </w:rPr>
            </w:pPr>
            <w:r w:rsidRPr="00E44360">
              <w:rPr>
                <w:u w:val="single"/>
              </w:rPr>
              <w:t>1-hour Average</w:t>
            </w:r>
          </w:p>
        </w:tc>
      </w:tr>
      <w:tr w:rsidR="00E44360" w:rsidRPr="00723963" w14:paraId="170B98C8" w14:textId="77777777" w:rsidTr="00E44360">
        <w:tc>
          <w:tcPr>
            <w:tcW w:w="1301" w:type="dxa"/>
          </w:tcPr>
          <w:p w14:paraId="1E3CFB84" w14:textId="77777777" w:rsidR="00E44360" w:rsidRPr="00723963" w:rsidRDefault="00E44360" w:rsidP="0007612C">
            <w:pPr>
              <w:ind w:left="-106" w:right="-89"/>
              <w:contextualSpacing/>
            </w:pPr>
          </w:p>
        </w:tc>
        <w:tc>
          <w:tcPr>
            <w:tcW w:w="1301" w:type="dxa"/>
          </w:tcPr>
          <w:p w14:paraId="2489B67F" w14:textId="77777777" w:rsidR="00E44360" w:rsidRPr="00723963" w:rsidRDefault="00E44360" w:rsidP="0007612C">
            <w:pPr>
              <w:ind w:left="-120" w:right="-102"/>
              <w:contextualSpacing/>
            </w:pPr>
          </w:p>
        </w:tc>
        <w:tc>
          <w:tcPr>
            <w:tcW w:w="1302" w:type="dxa"/>
          </w:tcPr>
          <w:p w14:paraId="522ADACF" w14:textId="77777777" w:rsidR="00E44360" w:rsidRPr="00723963" w:rsidRDefault="00E44360" w:rsidP="0007612C">
            <w:pPr>
              <w:ind w:left="-98" w:right="-109"/>
              <w:contextualSpacing/>
            </w:pPr>
          </w:p>
        </w:tc>
        <w:tc>
          <w:tcPr>
            <w:tcW w:w="1244" w:type="dxa"/>
          </w:tcPr>
          <w:p w14:paraId="51192BA3" w14:textId="521BD177" w:rsidR="00E44360" w:rsidRPr="00723963" w:rsidRDefault="00E44360" w:rsidP="0007612C">
            <w:pPr>
              <w:tabs>
                <w:tab w:val="left" w:pos="1670"/>
              </w:tabs>
              <w:ind w:left="-110" w:right="-105"/>
              <w:contextualSpacing/>
            </w:pPr>
          </w:p>
        </w:tc>
        <w:tc>
          <w:tcPr>
            <w:tcW w:w="1260" w:type="dxa"/>
          </w:tcPr>
          <w:p w14:paraId="4DABF065" w14:textId="77777777" w:rsidR="00E44360" w:rsidRPr="00723963" w:rsidRDefault="00E44360" w:rsidP="0007612C">
            <w:pPr>
              <w:tabs>
                <w:tab w:val="left" w:pos="1670"/>
              </w:tabs>
              <w:ind w:left="-121" w:right="-92"/>
              <w:contextualSpacing/>
            </w:pPr>
          </w:p>
        </w:tc>
        <w:tc>
          <w:tcPr>
            <w:tcW w:w="1296" w:type="dxa"/>
          </w:tcPr>
          <w:p w14:paraId="583226E9" w14:textId="77777777" w:rsidR="00E44360" w:rsidRPr="00723963" w:rsidRDefault="00E44360" w:rsidP="0007612C">
            <w:pPr>
              <w:ind w:left="-108" w:right="-115"/>
              <w:contextualSpacing/>
            </w:pPr>
          </w:p>
        </w:tc>
      </w:tr>
      <w:tr w:rsidR="00E44360" w:rsidRPr="00723963" w14:paraId="79857CE1" w14:textId="77777777" w:rsidTr="00E44360">
        <w:tc>
          <w:tcPr>
            <w:tcW w:w="1301" w:type="dxa"/>
            <w:vAlign w:val="center"/>
          </w:tcPr>
          <w:p w14:paraId="32F0E5DB" w14:textId="3876C574" w:rsidR="00E44360" w:rsidRPr="00723963" w:rsidRDefault="00E44360" w:rsidP="00E44360">
            <w:pPr>
              <w:ind w:left="232" w:right="-89"/>
              <w:contextualSpacing/>
            </w:pPr>
            <w:proofErr w:type="spellStart"/>
            <w:r w:rsidRPr="00723963">
              <w:t>SO</w:t>
            </w:r>
            <w:r w:rsidRPr="00723963">
              <w:rPr>
                <w:vertAlign w:val="subscript"/>
              </w:rPr>
              <w:t>2</w:t>
            </w:r>
            <w:proofErr w:type="spellEnd"/>
          </w:p>
        </w:tc>
        <w:tc>
          <w:tcPr>
            <w:tcW w:w="1301" w:type="dxa"/>
            <w:vAlign w:val="center"/>
          </w:tcPr>
          <w:p w14:paraId="5EAEDB0C" w14:textId="30FEF47A" w:rsidR="00E44360" w:rsidRPr="00723963" w:rsidRDefault="00E44360" w:rsidP="0007612C">
            <w:pPr>
              <w:ind w:left="-120" w:right="-102"/>
              <w:contextualSpacing/>
              <w:jc w:val="center"/>
            </w:pPr>
            <w:r w:rsidRPr="00723963">
              <w:t>1.0</w:t>
            </w:r>
          </w:p>
        </w:tc>
        <w:tc>
          <w:tcPr>
            <w:tcW w:w="1302" w:type="dxa"/>
            <w:vAlign w:val="center"/>
          </w:tcPr>
          <w:p w14:paraId="7516490D" w14:textId="604590CE" w:rsidR="00E44360" w:rsidRPr="00723963" w:rsidRDefault="00E44360" w:rsidP="0007612C">
            <w:pPr>
              <w:ind w:left="-98" w:right="-109"/>
              <w:contextualSpacing/>
              <w:jc w:val="center"/>
            </w:pPr>
            <w:r w:rsidRPr="00723963">
              <w:t>5</w:t>
            </w:r>
          </w:p>
        </w:tc>
        <w:tc>
          <w:tcPr>
            <w:tcW w:w="1244" w:type="dxa"/>
          </w:tcPr>
          <w:p w14:paraId="72FD74ED" w14:textId="4A15A4DE" w:rsidR="00E44360" w:rsidRPr="00723963" w:rsidRDefault="00E44360" w:rsidP="0007612C">
            <w:pPr>
              <w:tabs>
                <w:tab w:val="left" w:pos="1670"/>
              </w:tabs>
              <w:ind w:left="-110" w:right="-105"/>
              <w:contextualSpacing/>
              <w:jc w:val="center"/>
            </w:pPr>
          </w:p>
        </w:tc>
        <w:tc>
          <w:tcPr>
            <w:tcW w:w="1260" w:type="dxa"/>
            <w:vAlign w:val="center"/>
          </w:tcPr>
          <w:p w14:paraId="007B9606" w14:textId="38FF1067" w:rsidR="00E44360" w:rsidRPr="00723963" w:rsidRDefault="00E44360" w:rsidP="0007612C">
            <w:pPr>
              <w:tabs>
                <w:tab w:val="left" w:pos="1670"/>
              </w:tabs>
              <w:ind w:left="-121" w:right="-92"/>
              <w:contextualSpacing/>
              <w:jc w:val="center"/>
            </w:pPr>
            <w:r w:rsidRPr="00723963">
              <w:t>25</w:t>
            </w:r>
          </w:p>
        </w:tc>
        <w:tc>
          <w:tcPr>
            <w:tcW w:w="1296" w:type="dxa"/>
            <w:vAlign w:val="center"/>
          </w:tcPr>
          <w:p w14:paraId="20370347" w14:textId="77777777" w:rsidR="00E44360" w:rsidRPr="00723963" w:rsidRDefault="00E44360" w:rsidP="0007612C">
            <w:pPr>
              <w:ind w:left="-108" w:right="-115"/>
              <w:contextualSpacing/>
              <w:jc w:val="center"/>
            </w:pPr>
          </w:p>
        </w:tc>
      </w:tr>
      <w:tr w:rsidR="00E44360" w:rsidRPr="00723963" w14:paraId="14E4D825" w14:textId="77777777" w:rsidTr="00E44360">
        <w:tc>
          <w:tcPr>
            <w:tcW w:w="1301" w:type="dxa"/>
            <w:vAlign w:val="center"/>
          </w:tcPr>
          <w:p w14:paraId="1114B106" w14:textId="5FBC2570" w:rsidR="00E44360" w:rsidRPr="00723963" w:rsidRDefault="00E44360" w:rsidP="00E44360">
            <w:pPr>
              <w:ind w:left="232" w:right="-89"/>
              <w:contextualSpacing/>
            </w:pPr>
            <w:proofErr w:type="spellStart"/>
            <w:r w:rsidRPr="00723963">
              <w:t>PM</w:t>
            </w:r>
            <w:r w:rsidRPr="00723963">
              <w:rPr>
                <w:vertAlign w:val="subscript"/>
              </w:rPr>
              <w:t>10</w:t>
            </w:r>
            <w:proofErr w:type="spellEnd"/>
          </w:p>
        </w:tc>
        <w:tc>
          <w:tcPr>
            <w:tcW w:w="1301" w:type="dxa"/>
            <w:vAlign w:val="center"/>
          </w:tcPr>
          <w:p w14:paraId="61D7F6FD" w14:textId="3FF5B9F2" w:rsidR="00E44360" w:rsidRPr="00723963" w:rsidRDefault="00E44360" w:rsidP="0007612C">
            <w:pPr>
              <w:ind w:left="-120" w:right="-102"/>
              <w:contextualSpacing/>
              <w:jc w:val="center"/>
            </w:pPr>
            <w:r w:rsidRPr="00723963">
              <w:t>1.0</w:t>
            </w:r>
          </w:p>
        </w:tc>
        <w:tc>
          <w:tcPr>
            <w:tcW w:w="1302" w:type="dxa"/>
            <w:vAlign w:val="center"/>
          </w:tcPr>
          <w:p w14:paraId="352B3083" w14:textId="6A785CA2" w:rsidR="00E44360" w:rsidRPr="00723963" w:rsidRDefault="00E44360" w:rsidP="0007612C">
            <w:pPr>
              <w:ind w:left="-98" w:right="-109"/>
              <w:contextualSpacing/>
              <w:jc w:val="center"/>
            </w:pPr>
            <w:r w:rsidRPr="00723963">
              <w:t>5</w:t>
            </w:r>
          </w:p>
        </w:tc>
        <w:tc>
          <w:tcPr>
            <w:tcW w:w="1244" w:type="dxa"/>
          </w:tcPr>
          <w:p w14:paraId="54F0DAF2" w14:textId="2BA06B6D" w:rsidR="00E44360" w:rsidRPr="00723963" w:rsidRDefault="00E44360" w:rsidP="0007612C">
            <w:pPr>
              <w:tabs>
                <w:tab w:val="left" w:pos="1670"/>
              </w:tabs>
              <w:ind w:left="-110" w:right="-105"/>
              <w:contextualSpacing/>
              <w:jc w:val="center"/>
            </w:pPr>
          </w:p>
        </w:tc>
        <w:tc>
          <w:tcPr>
            <w:tcW w:w="1260" w:type="dxa"/>
            <w:vAlign w:val="center"/>
          </w:tcPr>
          <w:p w14:paraId="370C4916" w14:textId="77777777" w:rsidR="00E44360" w:rsidRPr="00723963" w:rsidRDefault="00E44360" w:rsidP="0007612C">
            <w:pPr>
              <w:tabs>
                <w:tab w:val="left" w:pos="1670"/>
              </w:tabs>
              <w:ind w:left="-121" w:right="-92"/>
              <w:contextualSpacing/>
              <w:jc w:val="center"/>
            </w:pPr>
          </w:p>
        </w:tc>
        <w:tc>
          <w:tcPr>
            <w:tcW w:w="1296" w:type="dxa"/>
            <w:vAlign w:val="center"/>
          </w:tcPr>
          <w:p w14:paraId="6D5C9C4B" w14:textId="77777777" w:rsidR="00E44360" w:rsidRPr="00723963" w:rsidRDefault="00E44360" w:rsidP="0007612C">
            <w:pPr>
              <w:ind w:left="-108" w:right="-115"/>
              <w:contextualSpacing/>
              <w:jc w:val="center"/>
            </w:pPr>
          </w:p>
        </w:tc>
      </w:tr>
      <w:tr w:rsidR="00E44360" w:rsidRPr="00723963" w14:paraId="1E1FA77A" w14:textId="77777777" w:rsidTr="00E44360">
        <w:tc>
          <w:tcPr>
            <w:tcW w:w="1301" w:type="dxa"/>
            <w:vAlign w:val="center"/>
          </w:tcPr>
          <w:p w14:paraId="2A44B053" w14:textId="1D74EC3A" w:rsidR="00E44360" w:rsidRPr="00723963" w:rsidRDefault="00E44360" w:rsidP="00E44360">
            <w:pPr>
              <w:ind w:left="232" w:right="-89"/>
              <w:contextualSpacing/>
            </w:pPr>
            <w:proofErr w:type="spellStart"/>
            <w:r w:rsidRPr="00723963">
              <w:t>PM</w:t>
            </w:r>
            <w:r w:rsidRPr="00723963">
              <w:rPr>
                <w:vertAlign w:val="subscript"/>
              </w:rPr>
              <w:t>2.5</w:t>
            </w:r>
            <w:proofErr w:type="spellEnd"/>
          </w:p>
        </w:tc>
        <w:tc>
          <w:tcPr>
            <w:tcW w:w="1301" w:type="dxa"/>
            <w:vAlign w:val="center"/>
          </w:tcPr>
          <w:p w14:paraId="282D326D" w14:textId="3EFE115A" w:rsidR="00E44360" w:rsidRPr="00723963" w:rsidRDefault="00E44360" w:rsidP="0007612C">
            <w:pPr>
              <w:ind w:left="-120" w:right="-102"/>
              <w:contextualSpacing/>
              <w:jc w:val="center"/>
            </w:pPr>
            <w:r w:rsidRPr="00723963">
              <w:t>0.3</w:t>
            </w:r>
          </w:p>
        </w:tc>
        <w:tc>
          <w:tcPr>
            <w:tcW w:w="1302" w:type="dxa"/>
            <w:vAlign w:val="center"/>
          </w:tcPr>
          <w:p w14:paraId="68F44401" w14:textId="7B1F2E6C" w:rsidR="00E44360" w:rsidRPr="00723963" w:rsidRDefault="00E44360" w:rsidP="0007612C">
            <w:pPr>
              <w:ind w:left="-98" w:right="-109"/>
              <w:contextualSpacing/>
              <w:jc w:val="center"/>
            </w:pPr>
            <w:r w:rsidRPr="00723963">
              <w:t>1.2</w:t>
            </w:r>
          </w:p>
        </w:tc>
        <w:tc>
          <w:tcPr>
            <w:tcW w:w="1244" w:type="dxa"/>
          </w:tcPr>
          <w:p w14:paraId="7DE1D458" w14:textId="38A78140" w:rsidR="00E44360" w:rsidRPr="00723963" w:rsidRDefault="00E44360" w:rsidP="0007612C">
            <w:pPr>
              <w:tabs>
                <w:tab w:val="left" w:pos="1670"/>
              </w:tabs>
              <w:ind w:left="-110" w:right="-105"/>
              <w:contextualSpacing/>
              <w:jc w:val="center"/>
            </w:pPr>
          </w:p>
        </w:tc>
        <w:tc>
          <w:tcPr>
            <w:tcW w:w="1260" w:type="dxa"/>
            <w:vAlign w:val="center"/>
          </w:tcPr>
          <w:p w14:paraId="5B9C2915" w14:textId="77777777" w:rsidR="00E44360" w:rsidRPr="00723963" w:rsidRDefault="00E44360" w:rsidP="0007612C">
            <w:pPr>
              <w:tabs>
                <w:tab w:val="left" w:pos="1670"/>
              </w:tabs>
              <w:ind w:left="-121" w:right="-92"/>
              <w:contextualSpacing/>
              <w:jc w:val="center"/>
            </w:pPr>
          </w:p>
        </w:tc>
        <w:tc>
          <w:tcPr>
            <w:tcW w:w="1296" w:type="dxa"/>
            <w:vAlign w:val="center"/>
          </w:tcPr>
          <w:p w14:paraId="10E0E0E0" w14:textId="77777777" w:rsidR="00E44360" w:rsidRPr="00723963" w:rsidRDefault="00E44360" w:rsidP="0007612C">
            <w:pPr>
              <w:ind w:left="-108" w:right="-115"/>
              <w:contextualSpacing/>
              <w:jc w:val="center"/>
            </w:pPr>
          </w:p>
        </w:tc>
      </w:tr>
      <w:tr w:rsidR="00E44360" w:rsidRPr="00723963" w14:paraId="308C9D99" w14:textId="77777777" w:rsidTr="00E44360">
        <w:tc>
          <w:tcPr>
            <w:tcW w:w="1301" w:type="dxa"/>
            <w:vAlign w:val="center"/>
          </w:tcPr>
          <w:p w14:paraId="3F68AC57" w14:textId="0300A67A" w:rsidR="00E44360" w:rsidRPr="00723963" w:rsidRDefault="00E44360" w:rsidP="00E44360">
            <w:pPr>
              <w:ind w:left="232" w:right="-89"/>
              <w:contextualSpacing/>
            </w:pPr>
            <w:proofErr w:type="spellStart"/>
            <w:r w:rsidRPr="00723963">
              <w:t>NO</w:t>
            </w:r>
            <w:r w:rsidRPr="00723963">
              <w:rPr>
                <w:vertAlign w:val="subscript"/>
              </w:rPr>
              <w:t>2</w:t>
            </w:r>
            <w:proofErr w:type="spellEnd"/>
          </w:p>
        </w:tc>
        <w:tc>
          <w:tcPr>
            <w:tcW w:w="1301" w:type="dxa"/>
            <w:vAlign w:val="center"/>
          </w:tcPr>
          <w:p w14:paraId="2DA86836" w14:textId="4B31C2F7" w:rsidR="00E44360" w:rsidRPr="00723963" w:rsidRDefault="00E44360" w:rsidP="0007612C">
            <w:pPr>
              <w:ind w:left="-120" w:right="-102"/>
              <w:contextualSpacing/>
              <w:jc w:val="center"/>
            </w:pPr>
            <w:r w:rsidRPr="00723963">
              <w:t>1.0</w:t>
            </w:r>
          </w:p>
        </w:tc>
        <w:tc>
          <w:tcPr>
            <w:tcW w:w="1302" w:type="dxa"/>
            <w:vAlign w:val="center"/>
          </w:tcPr>
          <w:p w14:paraId="30B2BAF5" w14:textId="77777777" w:rsidR="00E44360" w:rsidRPr="00723963" w:rsidRDefault="00E44360" w:rsidP="0007612C">
            <w:pPr>
              <w:ind w:left="-98" w:right="-109"/>
              <w:contextualSpacing/>
              <w:jc w:val="center"/>
            </w:pPr>
          </w:p>
        </w:tc>
        <w:tc>
          <w:tcPr>
            <w:tcW w:w="1244" w:type="dxa"/>
          </w:tcPr>
          <w:p w14:paraId="53BB0C97" w14:textId="0F496353" w:rsidR="00E44360" w:rsidRPr="00723963" w:rsidRDefault="00E44360" w:rsidP="0007612C">
            <w:pPr>
              <w:tabs>
                <w:tab w:val="left" w:pos="1670"/>
              </w:tabs>
              <w:ind w:left="-110" w:right="-105"/>
              <w:contextualSpacing/>
              <w:jc w:val="center"/>
            </w:pPr>
          </w:p>
        </w:tc>
        <w:tc>
          <w:tcPr>
            <w:tcW w:w="1260" w:type="dxa"/>
            <w:vAlign w:val="center"/>
          </w:tcPr>
          <w:p w14:paraId="49DED08D" w14:textId="77777777" w:rsidR="00E44360" w:rsidRPr="00723963" w:rsidRDefault="00E44360" w:rsidP="0007612C">
            <w:pPr>
              <w:tabs>
                <w:tab w:val="left" w:pos="1670"/>
              </w:tabs>
              <w:ind w:left="-121" w:right="-92"/>
              <w:contextualSpacing/>
              <w:jc w:val="center"/>
            </w:pPr>
          </w:p>
        </w:tc>
        <w:tc>
          <w:tcPr>
            <w:tcW w:w="1296" w:type="dxa"/>
            <w:vAlign w:val="center"/>
          </w:tcPr>
          <w:p w14:paraId="03F386F2" w14:textId="77777777" w:rsidR="00E44360" w:rsidRPr="00723963" w:rsidRDefault="00E44360" w:rsidP="0007612C">
            <w:pPr>
              <w:ind w:left="-108" w:right="-115"/>
              <w:contextualSpacing/>
              <w:jc w:val="center"/>
            </w:pPr>
          </w:p>
        </w:tc>
      </w:tr>
      <w:tr w:rsidR="00E44360" w:rsidRPr="00723963" w14:paraId="3D1B636E" w14:textId="77777777" w:rsidTr="00E44360">
        <w:tc>
          <w:tcPr>
            <w:tcW w:w="1301" w:type="dxa"/>
            <w:vAlign w:val="center"/>
          </w:tcPr>
          <w:p w14:paraId="7FA20155" w14:textId="580C79DE" w:rsidR="00E44360" w:rsidRPr="00723963" w:rsidRDefault="00E44360" w:rsidP="00E44360">
            <w:pPr>
              <w:ind w:left="232" w:right="-89"/>
              <w:contextualSpacing/>
            </w:pPr>
            <w:r w:rsidRPr="00723963">
              <w:t>CO</w:t>
            </w:r>
          </w:p>
        </w:tc>
        <w:tc>
          <w:tcPr>
            <w:tcW w:w="1301" w:type="dxa"/>
            <w:vAlign w:val="center"/>
          </w:tcPr>
          <w:p w14:paraId="051A2420" w14:textId="77777777" w:rsidR="00E44360" w:rsidRPr="00723963" w:rsidRDefault="00E44360" w:rsidP="0007612C">
            <w:pPr>
              <w:ind w:left="-120" w:right="-102"/>
              <w:contextualSpacing/>
              <w:jc w:val="center"/>
            </w:pPr>
          </w:p>
        </w:tc>
        <w:tc>
          <w:tcPr>
            <w:tcW w:w="1302" w:type="dxa"/>
            <w:vAlign w:val="center"/>
          </w:tcPr>
          <w:p w14:paraId="56E8980C" w14:textId="77777777" w:rsidR="00E44360" w:rsidRPr="00723963" w:rsidRDefault="00E44360" w:rsidP="0007612C">
            <w:pPr>
              <w:ind w:left="-98" w:right="-109"/>
              <w:contextualSpacing/>
              <w:jc w:val="center"/>
            </w:pPr>
          </w:p>
        </w:tc>
        <w:tc>
          <w:tcPr>
            <w:tcW w:w="1244" w:type="dxa"/>
          </w:tcPr>
          <w:p w14:paraId="341DD595" w14:textId="6FE1632E" w:rsidR="00E44360" w:rsidRPr="00723963" w:rsidRDefault="00E44360" w:rsidP="0007612C">
            <w:pPr>
              <w:tabs>
                <w:tab w:val="left" w:pos="1670"/>
              </w:tabs>
              <w:ind w:left="-88" w:right="-105"/>
              <w:contextualSpacing/>
              <w:jc w:val="center"/>
            </w:pPr>
            <w:r w:rsidRPr="00723963">
              <w:t>500</w:t>
            </w:r>
          </w:p>
        </w:tc>
        <w:tc>
          <w:tcPr>
            <w:tcW w:w="1260" w:type="dxa"/>
            <w:vAlign w:val="center"/>
          </w:tcPr>
          <w:p w14:paraId="77978B12" w14:textId="77777777" w:rsidR="00E44360" w:rsidRPr="00723963" w:rsidRDefault="00E44360" w:rsidP="0007612C">
            <w:pPr>
              <w:tabs>
                <w:tab w:val="left" w:pos="1670"/>
              </w:tabs>
              <w:ind w:left="-121" w:right="-92"/>
              <w:contextualSpacing/>
              <w:jc w:val="center"/>
            </w:pPr>
          </w:p>
        </w:tc>
        <w:tc>
          <w:tcPr>
            <w:tcW w:w="1296" w:type="dxa"/>
            <w:vAlign w:val="center"/>
          </w:tcPr>
          <w:p w14:paraId="0BBF187E" w14:textId="1943F770" w:rsidR="00E44360" w:rsidRPr="00723963" w:rsidRDefault="00E44360" w:rsidP="0007612C">
            <w:pPr>
              <w:ind w:left="-108" w:right="-115"/>
              <w:contextualSpacing/>
              <w:jc w:val="center"/>
            </w:pPr>
            <w:r w:rsidRPr="00723963">
              <w:t>2,000</w:t>
            </w:r>
          </w:p>
        </w:tc>
      </w:tr>
    </w:tbl>
    <w:p w14:paraId="233780AC" w14:textId="5D258E57" w:rsidR="000174EB" w:rsidRDefault="000174EB" w:rsidP="00723963">
      <w:pPr>
        <w:tabs>
          <w:tab w:val="left" w:pos="1670"/>
        </w:tabs>
        <w:ind w:left="113"/>
        <w:contextualSpacing/>
      </w:pPr>
    </w:p>
    <w:p w14:paraId="04D29852" w14:textId="43CE4BE9" w:rsidR="00723963" w:rsidRPr="00723963" w:rsidRDefault="00723963" w:rsidP="00736710">
      <w:pPr>
        <w:ind w:left="720"/>
        <w:contextualSpacing/>
      </w:pPr>
      <w:r w:rsidRPr="00524821">
        <w:t>(Source:  Added at 4</w:t>
      </w:r>
      <w:r w:rsidR="00A63567">
        <w:t>9</w:t>
      </w:r>
      <w:r w:rsidRPr="00524821">
        <w:t xml:space="preserve"> Ill. Reg. </w:t>
      </w:r>
      <w:r w:rsidR="00944F3F">
        <w:t>6237</w:t>
      </w:r>
      <w:r w:rsidRPr="00524821">
        <w:t xml:space="preserve">, effective </w:t>
      </w:r>
      <w:r w:rsidR="00944F3F">
        <w:t>April 23, 2025</w:t>
      </w:r>
      <w:r w:rsidRPr="00524821">
        <w:t>)</w:t>
      </w:r>
    </w:p>
    <w:sectPr w:rsidR="00723963" w:rsidRPr="007239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DFD0F" w14:textId="77777777" w:rsidR="00843298" w:rsidRDefault="00843298">
      <w:r>
        <w:separator/>
      </w:r>
    </w:p>
  </w:endnote>
  <w:endnote w:type="continuationSeparator" w:id="0">
    <w:p w14:paraId="123567A8" w14:textId="77777777" w:rsidR="00843298" w:rsidRDefault="0084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F9AA" w14:textId="77777777" w:rsidR="00843298" w:rsidRDefault="00843298">
      <w:r>
        <w:separator/>
      </w:r>
    </w:p>
  </w:footnote>
  <w:footnote w:type="continuationSeparator" w:id="0">
    <w:p w14:paraId="2E9AC576" w14:textId="77777777" w:rsidR="00843298" w:rsidRDefault="00843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12C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8CE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3963"/>
    <w:rsid w:val="007268A0"/>
    <w:rsid w:val="00727763"/>
    <w:rsid w:val="007278C5"/>
    <w:rsid w:val="0073380E"/>
    <w:rsid w:val="00736710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967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298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4F3F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3567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42B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360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A34FE"/>
  <w15:chartTrackingRefBased/>
  <w15:docId w15:val="{7D85A58F-238B-41E8-AA16-795B7269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96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cp:lastPrinted>2024-05-01T20:00:00Z</cp:lastPrinted>
  <dcterms:created xsi:type="dcterms:W3CDTF">2025-04-25T20:18:00Z</dcterms:created>
  <dcterms:modified xsi:type="dcterms:W3CDTF">2025-05-12T14:28:00Z</dcterms:modified>
</cp:coreProperties>
</file>