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820B" w14:textId="77777777" w:rsidR="000613D4" w:rsidRPr="000613D4" w:rsidRDefault="000613D4" w:rsidP="000613D4">
      <w:bookmarkStart w:id="0" w:name="_Ref523414369"/>
      <w:bookmarkStart w:id="1" w:name="_Ref26872316"/>
      <w:bookmarkStart w:id="2" w:name="_Toc28808588"/>
      <w:bookmarkStart w:id="3" w:name="_Toc77938091"/>
    </w:p>
    <w:p w14:paraId="1DB21B10" w14:textId="2DE6EF2E" w:rsidR="000613D4" w:rsidRPr="0076703F" w:rsidRDefault="000613D4" w:rsidP="000613D4">
      <w:pPr>
        <w:rPr>
          <w:b/>
          <w:bCs/>
        </w:rPr>
      </w:pPr>
      <w:r w:rsidRPr="0076703F">
        <w:rPr>
          <w:b/>
          <w:bCs/>
        </w:rPr>
        <w:t>Section 203.1370  Significant</w:t>
      </w:r>
      <w:bookmarkEnd w:id="0"/>
      <w:bookmarkEnd w:id="1"/>
      <w:bookmarkEnd w:id="2"/>
      <w:bookmarkEnd w:id="3"/>
    </w:p>
    <w:p w14:paraId="54C50728" w14:textId="77777777" w:rsidR="000613D4" w:rsidRPr="00BB65DE" w:rsidRDefault="000613D4" w:rsidP="000613D4"/>
    <w:p w14:paraId="25B07B46" w14:textId="12C5588F" w:rsidR="000613D4" w:rsidRDefault="000613D4" w:rsidP="000613D4">
      <w:pPr>
        <w:ind w:left="1440" w:hanging="720"/>
      </w:pPr>
      <w:bookmarkStart w:id="4" w:name="_Ref28353480"/>
      <w:r>
        <w:t>a)</w:t>
      </w:r>
      <w:r>
        <w:tab/>
        <w:t>"</w:t>
      </w:r>
      <w:r w:rsidRPr="008D17B1">
        <w:t>Significant</w:t>
      </w:r>
      <w:r>
        <w:t>"</w:t>
      </w:r>
      <w:r w:rsidRPr="008D17B1">
        <w:t xml:space="preserve"> means, </w:t>
      </w:r>
      <w:r w:rsidR="00097915">
        <w:t>in reference to</w:t>
      </w:r>
      <w:r w:rsidRPr="008D17B1">
        <w:t xml:space="preserve"> a </w:t>
      </w:r>
      <w:proofErr w:type="gramStart"/>
      <w:r w:rsidRPr="008D17B1">
        <w:t>net emissions</w:t>
      </w:r>
      <w:proofErr w:type="gramEnd"/>
      <w:r w:rsidRPr="008D17B1">
        <w:t xml:space="preserve"> increase or the potential of a source to emit any of the following pollutants, a rate of emissions that would equal or exceed any of the following rates:</w:t>
      </w:r>
      <w:bookmarkEnd w:id="4"/>
    </w:p>
    <w:p w14:paraId="7E75FBED" w14:textId="48481592" w:rsidR="000613D4" w:rsidRDefault="000613D4" w:rsidP="000613D4"/>
    <w:tbl>
      <w:tblPr>
        <w:tblW w:w="0" w:type="auto"/>
        <w:tblInd w:w="1332" w:type="dxa"/>
        <w:tblLook w:val="0000" w:firstRow="0" w:lastRow="0" w:firstColumn="0" w:lastColumn="0" w:noHBand="0" w:noVBand="0"/>
      </w:tblPr>
      <w:tblGrid>
        <w:gridCol w:w="2898"/>
        <w:gridCol w:w="4959"/>
      </w:tblGrid>
      <w:tr w:rsidR="00FA3E59" w14:paraId="0545FAA3" w14:textId="77777777" w:rsidTr="00B52EF6">
        <w:tc>
          <w:tcPr>
            <w:tcW w:w="2898" w:type="dxa"/>
          </w:tcPr>
          <w:p w14:paraId="5ED53286" w14:textId="37E31D2C" w:rsidR="00FA3E59" w:rsidRDefault="00FA3E59" w:rsidP="00EB4334">
            <w:pPr>
              <w:ind w:right="-100"/>
            </w:pPr>
            <w:r w:rsidRPr="008D17B1">
              <w:t>Pollutant</w:t>
            </w:r>
          </w:p>
        </w:tc>
        <w:tc>
          <w:tcPr>
            <w:tcW w:w="4959" w:type="dxa"/>
          </w:tcPr>
          <w:p w14:paraId="34002987" w14:textId="4A262453" w:rsidR="00FA3E59" w:rsidRDefault="00FA3E59" w:rsidP="00EB4334">
            <w:r w:rsidRPr="008D17B1">
              <w:t>Emissions Rate</w:t>
            </w:r>
          </w:p>
        </w:tc>
      </w:tr>
      <w:tr w:rsidR="00FA3E59" w14:paraId="4A04CF0B" w14:textId="77777777" w:rsidTr="00B52EF6">
        <w:tc>
          <w:tcPr>
            <w:tcW w:w="2898" w:type="dxa"/>
          </w:tcPr>
          <w:p w14:paraId="68ACE37A" w14:textId="77777777" w:rsidR="00FA3E59" w:rsidRDefault="00FA3E59" w:rsidP="00FA3E59">
            <w:pPr>
              <w:ind w:right="-100"/>
            </w:pPr>
          </w:p>
        </w:tc>
        <w:tc>
          <w:tcPr>
            <w:tcW w:w="4959" w:type="dxa"/>
          </w:tcPr>
          <w:p w14:paraId="4B9FBC3A" w14:textId="77777777" w:rsidR="00FA3E59" w:rsidRDefault="00FA3E59" w:rsidP="000613D4"/>
        </w:tc>
      </w:tr>
      <w:tr w:rsidR="00FA3E59" w14:paraId="43E990DC" w14:textId="77777777" w:rsidTr="00B52EF6">
        <w:tc>
          <w:tcPr>
            <w:tcW w:w="2898" w:type="dxa"/>
          </w:tcPr>
          <w:p w14:paraId="3587A7E6" w14:textId="51D4D915" w:rsidR="00FA3E59" w:rsidRDefault="00FA3E59" w:rsidP="00FA3E59">
            <w:pPr>
              <w:ind w:right="-100"/>
            </w:pPr>
            <w:r w:rsidRPr="008D17B1">
              <w:t>CO</w:t>
            </w:r>
          </w:p>
        </w:tc>
        <w:tc>
          <w:tcPr>
            <w:tcW w:w="4959" w:type="dxa"/>
          </w:tcPr>
          <w:p w14:paraId="3040E04C" w14:textId="4499E3DC" w:rsidR="00FA3E59" w:rsidRDefault="00FA3E59" w:rsidP="000613D4">
            <w:r w:rsidRPr="008D17B1">
              <w:t xml:space="preserve">100 </w:t>
            </w:r>
            <w:proofErr w:type="spellStart"/>
            <w:r w:rsidRPr="008D17B1">
              <w:t>tpy</w:t>
            </w:r>
            <w:proofErr w:type="spellEnd"/>
            <w:r w:rsidRPr="008D17B1">
              <w:t xml:space="preserve"> of CO, except </w:t>
            </w:r>
            <w:r>
              <w:t>under</w:t>
            </w:r>
            <w:r w:rsidRPr="008D17B1">
              <w:t xml:space="preserve"> subsection (</w:t>
            </w:r>
            <w:r>
              <w:t>b)</w:t>
            </w:r>
          </w:p>
        </w:tc>
      </w:tr>
      <w:tr w:rsidR="00FA3E59" w14:paraId="2C7384DC" w14:textId="77777777" w:rsidTr="00B52EF6">
        <w:tc>
          <w:tcPr>
            <w:tcW w:w="2898" w:type="dxa"/>
          </w:tcPr>
          <w:p w14:paraId="72672C2C" w14:textId="5C7CA4B7" w:rsidR="00FA3E59" w:rsidRDefault="00FA3E59" w:rsidP="00FA3E59">
            <w:pPr>
              <w:ind w:right="-100"/>
            </w:pPr>
            <w:proofErr w:type="spellStart"/>
            <w:r w:rsidRPr="008D17B1">
              <w:t>NO</w:t>
            </w:r>
            <w:r w:rsidRPr="008D17B1">
              <w:rPr>
                <w:vertAlign w:val="subscript"/>
              </w:rPr>
              <w:t>2</w:t>
            </w:r>
            <w:proofErr w:type="spellEnd"/>
          </w:p>
        </w:tc>
        <w:tc>
          <w:tcPr>
            <w:tcW w:w="4959" w:type="dxa"/>
          </w:tcPr>
          <w:p w14:paraId="7B169588" w14:textId="1A8310C3" w:rsidR="00FA3E59" w:rsidRDefault="00FA3E59" w:rsidP="000613D4">
            <w:r w:rsidRPr="008D17B1">
              <w:t xml:space="preserve">40 </w:t>
            </w:r>
            <w:proofErr w:type="spellStart"/>
            <w:r w:rsidRPr="008D17B1">
              <w:t>tpy</w:t>
            </w:r>
            <w:proofErr w:type="spellEnd"/>
            <w:r w:rsidRPr="008D17B1">
              <w:t xml:space="preserve"> of NO</w:t>
            </w:r>
            <w:r w:rsidRPr="008D17B1">
              <w:rPr>
                <w:vertAlign w:val="subscript"/>
              </w:rPr>
              <w:t>X</w:t>
            </w:r>
          </w:p>
        </w:tc>
      </w:tr>
      <w:tr w:rsidR="00FA3E59" w14:paraId="3A44789F" w14:textId="77777777" w:rsidTr="00B52EF6">
        <w:tc>
          <w:tcPr>
            <w:tcW w:w="2898" w:type="dxa"/>
          </w:tcPr>
          <w:p w14:paraId="66BCA889" w14:textId="2D2406A1" w:rsidR="00FA3E59" w:rsidRDefault="00FA3E59" w:rsidP="00FA3E59">
            <w:pPr>
              <w:ind w:right="-100"/>
            </w:pPr>
            <w:proofErr w:type="spellStart"/>
            <w:r w:rsidRPr="008D17B1">
              <w:t>SO</w:t>
            </w:r>
            <w:r w:rsidRPr="008D17B1">
              <w:rPr>
                <w:vertAlign w:val="subscript"/>
              </w:rPr>
              <w:t>2</w:t>
            </w:r>
            <w:proofErr w:type="spellEnd"/>
          </w:p>
        </w:tc>
        <w:tc>
          <w:tcPr>
            <w:tcW w:w="4959" w:type="dxa"/>
          </w:tcPr>
          <w:p w14:paraId="6E9A8DF2" w14:textId="33FC9ED4" w:rsidR="00FA3E59" w:rsidRDefault="00FA3E59" w:rsidP="000613D4">
            <w:r w:rsidRPr="008D17B1">
              <w:t xml:space="preserve">40 </w:t>
            </w:r>
            <w:proofErr w:type="spellStart"/>
            <w:r w:rsidRPr="008D17B1">
              <w:t>tpy</w:t>
            </w:r>
            <w:proofErr w:type="spellEnd"/>
            <w:r w:rsidRPr="008D17B1">
              <w:t xml:space="preserve"> of </w:t>
            </w:r>
            <w:proofErr w:type="spellStart"/>
            <w:r w:rsidRPr="008D17B1">
              <w:t>SO</w:t>
            </w:r>
            <w:r w:rsidRPr="008D17B1">
              <w:rPr>
                <w:vertAlign w:val="subscript"/>
              </w:rPr>
              <w:t>2</w:t>
            </w:r>
            <w:proofErr w:type="spellEnd"/>
          </w:p>
        </w:tc>
      </w:tr>
      <w:tr w:rsidR="00FA3E59" w14:paraId="2B60BB10" w14:textId="77777777" w:rsidTr="00B52EF6">
        <w:tc>
          <w:tcPr>
            <w:tcW w:w="2898" w:type="dxa"/>
          </w:tcPr>
          <w:p w14:paraId="6FD44167" w14:textId="1E9E8200" w:rsidR="00FA3E59" w:rsidRDefault="00FA3E59" w:rsidP="00FA3E59">
            <w:pPr>
              <w:ind w:right="-100"/>
            </w:pPr>
            <w:proofErr w:type="spellStart"/>
            <w:r w:rsidRPr="008D17B1">
              <w:t>PM</w:t>
            </w:r>
            <w:r w:rsidRPr="008D17B1">
              <w:rPr>
                <w:vertAlign w:val="subscript"/>
              </w:rPr>
              <w:t>10</w:t>
            </w:r>
            <w:proofErr w:type="spellEnd"/>
          </w:p>
        </w:tc>
        <w:tc>
          <w:tcPr>
            <w:tcW w:w="4959" w:type="dxa"/>
          </w:tcPr>
          <w:p w14:paraId="3CDDFDDC" w14:textId="2AEDA20B" w:rsidR="00FA3E59" w:rsidRDefault="00FA3E59" w:rsidP="000613D4">
            <w:r w:rsidRPr="008D17B1">
              <w:t xml:space="preserve">15 </w:t>
            </w:r>
            <w:proofErr w:type="spellStart"/>
            <w:r w:rsidRPr="008D17B1">
              <w:t>tpy</w:t>
            </w:r>
            <w:proofErr w:type="spellEnd"/>
            <w:r w:rsidRPr="008D17B1">
              <w:t xml:space="preserve"> of </w:t>
            </w:r>
            <w:proofErr w:type="spellStart"/>
            <w:r w:rsidRPr="008D17B1">
              <w:t>PM</w:t>
            </w:r>
            <w:r w:rsidRPr="008D17B1">
              <w:rPr>
                <w:vertAlign w:val="subscript"/>
              </w:rPr>
              <w:t>10</w:t>
            </w:r>
            <w:proofErr w:type="spellEnd"/>
          </w:p>
        </w:tc>
      </w:tr>
      <w:tr w:rsidR="00FA3E59" w14:paraId="60E37A38" w14:textId="77777777" w:rsidTr="00B52EF6">
        <w:tc>
          <w:tcPr>
            <w:tcW w:w="2898" w:type="dxa"/>
          </w:tcPr>
          <w:p w14:paraId="38F51BFF" w14:textId="057ECD30" w:rsidR="00FA3E59" w:rsidRDefault="00FA3E59" w:rsidP="00FA3E59">
            <w:pPr>
              <w:ind w:right="-100"/>
            </w:pPr>
            <w:proofErr w:type="spellStart"/>
            <w:r w:rsidRPr="008D17B1">
              <w:t>PM</w:t>
            </w:r>
            <w:r w:rsidRPr="008D17B1">
              <w:rPr>
                <w:vertAlign w:val="subscript"/>
              </w:rPr>
              <w:t>2.5</w:t>
            </w:r>
            <w:proofErr w:type="spellEnd"/>
          </w:p>
        </w:tc>
        <w:tc>
          <w:tcPr>
            <w:tcW w:w="4959" w:type="dxa"/>
          </w:tcPr>
          <w:p w14:paraId="2E3FCE8B" w14:textId="09A2F7A0" w:rsidR="00FA3E59" w:rsidRDefault="00FA3E59" w:rsidP="000613D4">
            <w:r w:rsidRPr="008D17B1">
              <w:t xml:space="preserve">10 </w:t>
            </w:r>
            <w:proofErr w:type="spellStart"/>
            <w:r w:rsidRPr="008D17B1">
              <w:t>tpy</w:t>
            </w:r>
            <w:proofErr w:type="spellEnd"/>
            <w:r w:rsidRPr="008D17B1">
              <w:t xml:space="preserve"> of direct </w:t>
            </w:r>
            <w:proofErr w:type="spellStart"/>
            <w:r w:rsidRPr="008D17B1">
              <w:t>PM</w:t>
            </w:r>
            <w:r w:rsidRPr="008D17B1">
              <w:rPr>
                <w:vertAlign w:val="subscript"/>
              </w:rPr>
              <w:t>2.5</w:t>
            </w:r>
            <w:proofErr w:type="spellEnd"/>
            <w:r w:rsidRPr="008D17B1">
              <w:t xml:space="preserve"> emissions; 40 </w:t>
            </w:r>
            <w:proofErr w:type="spellStart"/>
            <w:r w:rsidRPr="008D17B1">
              <w:t>tpy</w:t>
            </w:r>
            <w:proofErr w:type="spellEnd"/>
            <w:r w:rsidRPr="008D17B1">
              <w:t xml:space="preserve"> of </w:t>
            </w:r>
            <w:proofErr w:type="spellStart"/>
            <w:r w:rsidRPr="008D17B1">
              <w:t>SO</w:t>
            </w:r>
            <w:r w:rsidRPr="008D17B1">
              <w:rPr>
                <w:vertAlign w:val="subscript"/>
              </w:rPr>
              <w:t>2</w:t>
            </w:r>
            <w:proofErr w:type="spellEnd"/>
            <w:r w:rsidRPr="008D17B1">
              <w:t xml:space="preserve">, 40 </w:t>
            </w:r>
            <w:proofErr w:type="spellStart"/>
            <w:r w:rsidRPr="008D17B1">
              <w:t>tpy</w:t>
            </w:r>
            <w:proofErr w:type="spellEnd"/>
            <w:r w:rsidRPr="008D17B1">
              <w:t xml:space="preserve"> of NO</w:t>
            </w:r>
            <w:r w:rsidRPr="008D17B1">
              <w:rPr>
                <w:vertAlign w:val="subscript"/>
              </w:rPr>
              <w:t>X</w:t>
            </w:r>
            <w:r w:rsidRPr="008D17B1">
              <w:t xml:space="preserve">, 40 </w:t>
            </w:r>
            <w:proofErr w:type="spellStart"/>
            <w:r w:rsidRPr="008D17B1">
              <w:t>tpy</w:t>
            </w:r>
            <w:proofErr w:type="spellEnd"/>
            <w:r w:rsidRPr="008D17B1">
              <w:t xml:space="preserve"> of </w:t>
            </w:r>
            <w:proofErr w:type="spellStart"/>
            <w:r w:rsidRPr="008D17B1">
              <w:t>VOM</w:t>
            </w:r>
            <w:proofErr w:type="spellEnd"/>
            <w:r w:rsidRPr="008D17B1">
              <w:t xml:space="preserve">, or </w:t>
            </w:r>
            <w:r>
              <w:t>4</w:t>
            </w:r>
            <w:r w:rsidRPr="008D17B1">
              <w:t xml:space="preserve">0 </w:t>
            </w:r>
            <w:proofErr w:type="spellStart"/>
            <w:r w:rsidRPr="008D17B1">
              <w:t>tpy</w:t>
            </w:r>
            <w:proofErr w:type="spellEnd"/>
            <w:r w:rsidRPr="008D17B1">
              <w:t xml:space="preserve"> of ammonia, to the extent that any such pollutant is defined as a precursor for </w:t>
            </w:r>
            <w:proofErr w:type="spellStart"/>
            <w:r w:rsidRPr="008D17B1">
              <w:t>PM</w:t>
            </w:r>
            <w:r w:rsidRPr="008D17B1">
              <w:rPr>
                <w:vertAlign w:val="subscript"/>
              </w:rPr>
              <w:t>2.5</w:t>
            </w:r>
            <w:proofErr w:type="spellEnd"/>
            <w:r w:rsidRPr="008D17B1">
              <w:t xml:space="preserve"> in </w:t>
            </w:r>
            <w:r>
              <w:t>Section 203.1340</w:t>
            </w:r>
            <w:r w:rsidRPr="008D17B1">
              <w:t>.</w:t>
            </w:r>
          </w:p>
        </w:tc>
      </w:tr>
      <w:tr w:rsidR="00FA3E59" w14:paraId="57A5B5E8" w14:textId="77777777" w:rsidTr="00B52EF6">
        <w:tc>
          <w:tcPr>
            <w:tcW w:w="2898" w:type="dxa"/>
          </w:tcPr>
          <w:p w14:paraId="11D49A60" w14:textId="14E2E53B" w:rsidR="00FA3E59" w:rsidRDefault="00FA3E59" w:rsidP="00FA3E59">
            <w:pPr>
              <w:ind w:right="-100"/>
            </w:pPr>
            <w:r w:rsidRPr="008D17B1">
              <w:t>Ozone</w:t>
            </w:r>
          </w:p>
        </w:tc>
        <w:tc>
          <w:tcPr>
            <w:tcW w:w="4959" w:type="dxa"/>
          </w:tcPr>
          <w:p w14:paraId="24331B29" w14:textId="60D5912A" w:rsidR="00FA3E59" w:rsidRDefault="00FA3E59" w:rsidP="000613D4">
            <w:r w:rsidRPr="008D17B1">
              <w:t xml:space="preserve">40 </w:t>
            </w:r>
            <w:proofErr w:type="spellStart"/>
            <w:r w:rsidRPr="008D17B1">
              <w:t>tpy</w:t>
            </w:r>
            <w:proofErr w:type="spellEnd"/>
            <w:r w:rsidRPr="008D17B1">
              <w:t xml:space="preserve"> of </w:t>
            </w:r>
            <w:proofErr w:type="spellStart"/>
            <w:r w:rsidRPr="008D17B1">
              <w:t>VOM</w:t>
            </w:r>
            <w:proofErr w:type="spellEnd"/>
            <w:r w:rsidRPr="008D17B1">
              <w:t xml:space="preserve"> or NO</w:t>
            </w:r>
            <w:r w:rsidRPr="008D17B1">
              <w:rPr>
                <w:vertAlign w:val="subscript"/>
              </w:rPr>
              <w:t>X</w:t>
            </w:r>
            <w:r w:rsidRPr="008D17B1">
              <w:t xml:space="preserve">, except </w:t>
            </w:r>
            <w:r>
              <w:t>under</w:t>
            </w:r>
            <w:r w:rsidRPr="008D17B1">
              <w:t xml:space="preserve"> subsections (</w:t>
            </w:r>
            <w:r>
              <w:t>c)</w:t>
            </w:r>
            <w:r w:rsidRPr="008D17B1">
              <w:t xml:space="preserve"> and (</w:t>
            </w:r>
            <w:r>
              <w:t>d)</w:t>
            </w:r>
            <w:r w:rsidRPr="008D17B1">
              <w:t>.</w:t>
            </w:r>
          </w:p>
        </w:tc>
      </w:tr>
      <w:tr w:rsidR="00FA3E59" w14:paraId="242C3595" w14:textId="77777777" w:rsidTr="00B52EF6">
        <w:tc>
          <w:tcPr>
            <w:tcW w:w="2898" w:type="dxa"/>
          </w:tcPr>
          <w:p w14:paraId="622D50F8" w14:textId="25F02CDC" w:rsidR="00FA3E59" w:rsidRPr="008D17B1" w:rsidRDefault="00FA3E59" w:rsidP="00FA3E59">
            <w:pPr>
              <w:ind w:right="-100"/>
            </w:pPr>
            <w:r w:rsidRPr="008D17B1">
              <w:t>Lead</w:t>
            </w:r>
          </w:p>
        </w:tc>
        <w:tc>
          <w:tcPr>
            <w:tcW w:w="4959" w:type="dxa"/>
          </w:tcPr>
          <w:p w14:paraId="7F881F78" w14:textId="5723F996" w:rsidR="00FA3E59" w:rsidRPr="008D17B1" w:rsidRDefault="00FA3E59" w:rsidP="000613D4">
            <w:r w:rsidRPr="008D17B1">
              <w:t xml:space="preserve">0.6 </w:t>
            </w:r>
            <w:proofErr w:type="spellStart"/>
            <w:r w:rsidRPr="008D17B1">
              <w:t>tpy</w:t>
            </w:r>
            <w:proofErr w:type="spellEnd"/>
          </w:p>
        </w:tc>
      </w:tr>
    </w:tbl>
    <w:p w14:paraId="10705117" w14:textId="3FE3AB09" w:rsidR="00FA3E59" w:rsidRDefault="00FA3E59" w:rsidP="000613D4"/>
    <w:p w14:paraId="3A35CE90" w14:textId="00C3480E" w:rsidR="000613D4" w:rsidRDefault="000613D4" w:rsidP="000613D4">
      <w:pPr>
        <w:ind w:left="1440" w:hanging="720"/>
      </w:pPr>
      <w:bookmarkStart w:id="5" w:name="_Ref42785285"/>
      <w:bookmarkStart w:id="6" w:name="_Ref523414428"/>
      <w:r>
        <w:t>b)</w:t>
      </w:r>
      <w:r>
        <w:tab/>
      </w:r>
      <w:r w:rsidRPr="008D17B1">
        <w:t xml:space="preserve">For areas classified as serious nonattainment for CO where stationary sources significantly contribute to ambient CO levels, as determined under rules issued by the USEPA, </w:t>
      </w:r>
      <w:r w:rsidR="00097915">
        <w:t>pursuant to</w:t>
      </w:r>
      <w:r w:rsidRPr="008D17B1">
        <w:t xml:space="preserve"> the CAA, </w:t>
      </w:r>
      <w:r w:rsidR="00097915">
        <w:t>notwithstanding</w:t>
      </w:r>
      <w:r w:rsidRPr="008D17B1">
        <w:t xml:space="preserve"> the significant emissions rate for CO in subsection (a), significant means an increase in actual emissions of CO that would result from any physical change in or change in the method of operation of a major stationary source, if </w:t>
      </w:r>
      <w:r w:rsidR="00097915">
        <w:t>such</w:t>
      </w:r>
      <w:r>
        <w:t xml:space="preserve"> inc</w:t>
      </w:r>
      <w:r w:rsidRPr="008D17B1">
        <w:t xml:space="preserve">rease equals or exceeds 50 </w:t>
      </w:r>
      <w:proofErr w:type="spellStart"/>
      <w:r w:rsidRPr="008D17B1">
        <w:t>tpy</w:t>
      </w:r>
      <w:proofErr w:type="spellEnd"/>
      <w:r w:rsidRPr="008D17B1">
        <w:t>.</w:t>
      </w:r>
      <w:bookmarkEnd w:id="5"/>
    </w:p>
    <w:p w14:paraId="3D42340B" w14:textId="77777777" w:rsidR="000613D4" w:rsidRPr="00E96AD2" w:rsidRDefault="000613D4" w:rsidP="00490888"/>
    <w:p w14:paraId="2FD359A5" w14:textId="3FC61CC7" w:rsidR="000613D4" w:rsidRPr="008D17B1" w:rsidRDefault="000613D4" w:rsidP="000613D4">
      <w:pPr>
        <w:ind w:left="1440" w:hanging="720"/>
      </w:pPr>
      <w:bookmarkStart w:id="7" w:name="_Ref42785318"/>
      <w:r>
        <w:t>c)</w:t>
      </w:r>
      <w:r>
        <w:tab/>
      </w:r>
      <w:r w:rsidRPr="008D17B1">
        <w:t xml:space="preserve">For areas classified as serious or severe nonattainment for ozone, </w:t>
      </w:r>
      <w:r w:rsidR="00097915">
        <w:t>notwithstanding</w:t>
      </w:r>
      <w:r w:rsidRPr="008D17B1">
        <w:t xml:space="preserve"> the significant emissions rate for ozone in subsection (a), an increase in emissions of </w:t>
      </w:r>
      <w:proofErr w:type="spellStart"/>
      <w:r w:rsidRPr="008D17B1">
        <w:t>VOM</w:t>
      </w:r>
      <w:proofErr w:type="spellEnd"/>
      <w:r w:rsidRPr="008D17B1">
        <w:t xml:space="preserve"> or NO</w:t>
      </w:r>
      <w:r w:rsidRPr="008D17B1">
        <w:rPr>
          <w:vertAlign w:val="subscript"/>
        </w:rPr>
        <w:t>X</w:t>
      </w:r>
      <w:r w:rsidRPr="008D17B1">
        <w:t xml:space="preserve"> </w:t>
      </w:r>
      <w:r w:rsidR="00097915">
        <w:t>shall</w:t>
      </w:r>
      <w:r w:rsidRPr="008D17B1">
        <w:t xml:space="preserve"> be considered significant if the net emissions increase of such air pollutant from a stationary source located within such area exceeds 25 tons when aggregated with all other net increases in emissions from the source over any period of 5 consecutive calendar years which includes the calendar year in which such increase occurred.  This provision </w:t>
      </w:r>
      <w:r w:rsidR="00097915">
        <w:t>shall</w:t>
      </w:r>
      <w:r w:rsidRPr="008D17B1">
        <w:t xml:space="preserve"> become effective beginning November 15, 1992, or </w:t>
      </w:r>
      <w:r w:rsidR="00097915">
        <w:t>such</w:t>
      </w:r>
      <w:r w:rsidRPr="008D17B1">
        <w:t xml:space="preserve"> later date </w:t>
      </w:r>
      <w:r>
        <w:t xml:space="preserve">when </w:t>
      </w:r>
      <w:r w:rsidRPr="008D17B1">
        <w:t>an area is classified as a serious or severe nonattainment area for ozone.</w:t>
      </w:r>
      <w:bookmarkEnd w:id="6"/>
      <w:bookmarkEnd w:id="7"/>
      <w:r w:rsidRPr="008D17B1">
        <w:t xml:space="preserve"> </w:t>
      </w:r>
    </w:p>
    <w:p w14:paraId="5A22EC00" w14:textId="77777777" w:rsidR="000613D4" w:rsidRDefault="000613D4" w:rsidP="000613D4">
      <w:bookmarkStart w:id="8" w:name="_Ref42873018"/>
    </w:p>
    <w:p w14:paraId="08C4ACC5" w14:textId="349CE803" w:rsidR="000613D4" w:rsidRPr="008D17B1" w:rsidRDefault="000613D4" w:rsidP="000613D4">
      <w:pPr>
        <w:ind w:left="1440" w:hanging="720"/>
      </w:pPr>
      <w:r>
        <w:t>d)</w:t>
      </w:r>
      <w:r>
        <w:tab/>
      </w:r>
      <w:r w:rsidRPr="008D17B1">
        <w:t xml:space="preserve">For areas classified as extreme nonattainment for ozone, </w:t>
      </w:r>
      <w:r w:rsidR="00097915">
        <w:t>notwithstanding</w:t>
      </w:r>
      <w:r w:rsidRPr="008D17B1">
        <w:t xml:space="preserve"> the significant emissions rate for ozone in subsection (a), any increase in emissions of </w:t>
      </w:r>
      <w:proofErr w:type="spellStart"/>
      <w:r w:rsidRPr="008D17B1">
        <w:t>VOM</w:t>
      </w:r>
      <w:proofErr w:type="spellEnd"/>
      <w:r w:rsidRPr="008D17B1">
        <w:t xml:space="preserve"> or NO</w:t>
      </w:r>
      <w:r w:rsidRPr="008D17B1">
        <w:rPr>
          <w:vertAlign w:val="subscript"/>
        </w:rPr>
        <w:t>X</w:t>
      </w:r>
      <w:r w:rsidRPr="008D17B1">
        <w:t xml:space="preserve"> from any emissions unit at a major stationary source of </w:t>
      </w:r>
      <w:proofErr w:type="spellStart"/>
      <w:r w:rsidRPr="008D17B1">
        <w:t>VOM</w:t>
      </w:r>
      <w:proofErr w:type="spellEnd"/>
      <w:r w:rsidRPr="008D17B1">
        <w:t xml:space="preserve"> or NO</w:t>
      </w:r>
      <w:r w:rsidRPr="008D17B1">
        <w:rPr>
          <w:vertAlign w:val="subscript"/>
        </w:rPr>
        <w:t>X</w:t>
      </w:r>
      <w:r w:rsidRPr="008D17B1">
        <w:t xml:space="preserve"> </w:t>
      </w:r>
      <w:r w:rsidR="00097915">
        <w:t>shall</w:t>
      </w:r>
      <w:r w:rsidRPr="008D17B1">
        <w:t xml:space="preserve"> be considered significant.</w:t>
      </w:r>
      <w:bookmarkEnd w:id="8"/>
    </w:p>
    <w:p w14:paraId="7C24C333" w14:textId="77777777" w:rsidR="000613D4" w:rsidRDefault="000613D4" w:rsidP="00490888"/>
    <w:p w14:paraId="2961803A" w14:textId="1477EE9C" w:rsidR="000613D4" w:rsidRDefault="000613D4" w:rsidP="000613D4">
      <w:pPr>
        <w:ind w:left="1440" w:hanging="720"/>
      </w:pPr>
      <w:r>
        <w:t>e)</w:t>
      </w:r>
      <w:r>
        <w:tab/>
      </w:r>
      <w:r w:rsidRPr="008D17B1">
        <w:t xml:space="preserve">For major stationary sources located outside designated nonattainment areas for purposes of Subpart R, an increase in emissions of a regulated </w:t>
      </w:r>
      <w:proofErr w:type="spellStart"/>
      <w:r w:rsidRPr="008D17B1">
        <w:t>NSR</w:t>
      </w:r>
      <w:proofErr w:type="spellEnd"/>
      <w:r w:rsidRPr="008D17B1">
        <w:t xml:space="preserve"> pollutant </w:t>
      </w:r>
      <w:r w:rsidR="00097915">
        <w:t>shall</w:t>
      </w:r>
      <w:r w:rsidRPr="008D17B1">
        <w:t xml:space="preserve"> </w:t>
      </w:r>
      <w:r w:rsidRPr="008D17B1">
        <w:lastRenderedPageBreak/>
        <w:t>be considered significant if it would equal or exceed the rate listed in subsection (</w:t>
      </w:r>
      <w:r>
        <w:t>a)</w:t>
      </w:r>
      <w:r w:rsidRPr="008D17B1">
        <w:t xml:space="preserve">, </w:t>
      </w:r>
      <w:r w:rsidR="00097915">
        <w:t>notwithstanding</w:t>
      </w:r>
      <w:r w:rsidRPr="008D17B1">
        <w:t xml:space="preserve"> the attainment status in the area.</w:t>
      </w:r>
    </w:p>
    <w:p w14:paraId="1C80FEEC" w14:textId="77777777" w:rsidR="000613D4" w:rsidRDefault="000613D4" w:rsidP="000613D4"/>
    <w:p w14:paraId="5878114C" w14:textId="20706F96" w:rsidR="000174EB" w:rsidRPr="00093935" w:rsidRDefault="000613D4" w:rsidP="000613D4">
      <w:pPr>
        <w:ind w:firstLine="720"/>
      </w:pPr>
      <w:r w:rsidRPr="00524821">
        <w:t>(Source:  Added at 4</w:t>
      </w:r>
      <w:r w:rsidR="00097915">
        <w:t>9</w:t>
      </w:r>
      <w:r w:rsidRPr="00524821">
        <w:t xml:space="preserve"> Ill. Reg. </w:t>
      </w:r>
      <w:r w:rsidR="009057A4">
        <w:t>6237</w:t>
      </w:r>
      <w:r w:rsidRPr="00524821">
        <w:t xml:space="preserve">, effective </w:t>
      </w:r>
      <w:r w:rsidR="009057A4">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169F" w14:textId="77777777" w:rsidR="00856C7D" w:rsidRDefault="00856C7D">
      <w:r>
        <w:separator/>
      </w:r>
    </w:p>
  </w:endnote>
  <w:endnote w:type="continuationSeparator" w:id="0">
    <w:p w14:paraId="4FEDF657" w14:textId="77777777" w:rsidR="00856C7D" w:rsidRDefault="0085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7671" w14:textId="77777777" w:rsidR="00856C7D" w:rsidRDefault="00856C7D">
      <w:r>
        <w:separator/>
      </w:r>
    </w:p>
  </w:footnote>
  <w:footnote w:type="continuationSeparator" w:id="0">
    <w:p w14:paraId="0FAA36AD" w14:textId="77777777" w:rsidR="00856C7D" w:rsidRDefault="00856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3D4"/>
    <w:rsid w:val="00066013"/>
    <w:rsid w:val="000676A6"/>
    <w:rsid w:val="00074368"/>
    <w:rsid w:val="00074DB5"/>
    <w:rsid w:val="000765E0"/>
    <w:rsid w:val="00083E97"/>
    <w:rsid w:val="0008539F"/>
    <w:rsid w:val="00085CDF"/>
    <w:rsid w:val="0008689B"/>
    <w:rsid w:val="00093935"/>
    <w:rsid w:val="000943C4"/>
    <w:rsid w:val="00097915"/>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888"/>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02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6BA"/>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C7D"/>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7A4"/>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D74"/>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EF6"/>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4334"/>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E59"/>
    <w:rsid w:val="00FB1274"/>
    <w:rsid w:val="00FB6CE4"/>
    <w:rsid w:val="00FC18E5"/>
    <w:rsid w:val="00FC2BF7"/>
    <w:rsid w:val="00FC3252"/>
    <w:rsid w:val="00FC340F"/>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97CAB"/>
  <w15:chartTrackingRefBased/>
  <w15:docId w15:val="{EF39E1C7-912A-4AED-8183-096ABF00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4"/>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2072</Characters>
  <Application>Microsoft Office Word</Application>
  <DocSecurity>0</DocSecurity>
  <Lines>17</Lines>
  <Paragraphs>4</Paragraphs>
  <ScaleCrop>false</ScaleCrop>
  <Company>Illinois General Assembly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2025-04-25T20:17:00Z</dcterms:created>
  <dcterms:modified xsi:type="dcterms:W3CDTF">2025-05-09T13:45:00Z</dcterms:modified>
</cp:coreProperties>
</file>