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0475E" w14:textId="77777777" w:rsidR="007A16C1" w:rsidRDefault="007A16C1" w:rsidP="007A16C1">
      <w:pPr>
        <w:widowControl w:val="0"/>
        <w:autoSpaceDE w:val="0"/>
        <w:autoSpaceDN w:val="0"/>
        <w:adjustRightInd w:val="0"/>
      </w:pPr>
    </w:p>
    <w:p w14:paraId="490EBF7C" w14:textId="77777777" w:rsidR="007A16C1" w:rsidRDefault="007A16C1" w:rsidP="007A16C1">
      <w:pPr>
        <w:widowControl w:val="0"/>
        <w:autoSpaceDE w:val="0"/>
        <w:autoSpaceDN w:val="0"/>
        <w:adjustRightInd w:val="0"/>
      </w:pPr>
      <w:r>
        <w:rPr>
          <w:b/>
          <w:bCs/>
        </w:rPr>
        <w:t>Section 201.401  Continuous Monitoring Requirements</w:t>
      </w:r>
      <w:r>
        <w:t xml:space="preserve"> </w:t>
      </w:r>
    </w:p>
    <w:p w14:paraId="55D4C5D2" w14:textId="77777777" w:rsidR="007A16C1" w:rsidRDefault="007A16C1" w:rsidP="007A16C1">
      <w:pPr>
        <w:widowControl w:val="0"/>
        <w:autoSpaceDE w:val="0"/>
        <w:autoSpaceDN w:val="0"/>
        <w:adjustRightInd w:val="0"/>
      </w:pPr>
    </w:p>
    <w:p w14:paraId="5EB5F7F5" w14:textId="77777777" w:rsidR="007A16C1" w:rsidRDefault="007A16C1" w:rsidP="007A16C1">
      <w:pPr>
        <w:widowControl w:val="0"/>
        <w:autoSpaceDE w:val="0"/>
        <w:autoSpaceDN w:val="0"/>
        <w:adjustRightInd w:val="0"/>
        <w:ind w:left="1440" w:hanging="720"/>
      </w:pPr>
      <w:r>
        <w:t>a)</w:t>
      </w:r>
      <w:r>
        <w:tab/>
        <w:t xml:space="preserve">Except as otherwise provided at Section 201.402 and Section 201.403, the owners and operators of the following emission sources shall install, operate, calibrate and maintain continuous monitoring equipment for the indicated pollutants. </w:t>
      </w:r>
    </w:p>
    <w:p w14:paraId="05F656B6" w14:textId="77777777" w:rsidR="00374A35" w:rsidRDefault="00374A35" w:rsidP="007B555C">
      <w:pPr>
        <w:widowControl w:val="0"/>
        <w:autoSpaceDE w:val="0"/>
        <w:autoSpaceDN w:val="0"/>
        <w:adjustRightInd w:val="0"/>
      </w:pPr>
    </w:p>
    <w:p w14:paraId="56693C63" w14:textId="77777777" w:rsidR="007A16C1" w:rsidRDefault="007A16C1" w:rsidP="007A16C1">
      <w:pPr>
        <w:widowControl w:val="0"/>
        <w:autoSpaceDE w:val="0"/>
        <w:autoSpaceDN w:val="0"/>
        <w:adjustRightInd w:val="0"/>
        <w:ind w:left="2160" w:hanging="720"/>
      </w:pPr>
      <w:r>
        <w:t>1)</w:t>
      </w:r>
      <w:r>
        <w:tab/>
        <w:t xml:space="preserve">Fossil fuel-fired steam generators with an annual average capacity factor greater than 30%, as reported to the Federal Power Commission for calendar year 1974, or as otherwise demonstrated to the Agency through the use of annual production data and equipment rating information representative of the facility's operations, shall monitor for: </w:t>
      </w:r>
    </w:p>
    <w:p w14:paraId="1E3E8B9E" w14:textId="77777777" w:rsidR="00374A35" w:rsidRDefault="00374A35" w:rsidP="007B555C">
      <w:pPr>
        <w:widowControl w:val="0"/>
        <w:autoSpaceDE w:val="0"/>
        <w:autoSpaceDN w:val="0"/>
        <w:adjustRightInd w:val="0"/>
      </w:pPr>
    </w:p>
    <w:p w14:paraId="607EE438" w14:textId="77777777" w:rsidR="007A16C1" w:rsidRDefault="007A16C1" w:rsidP="007A16C1">
      <w:pPr>
        <w:widowControl w:val="0"/>
        <w:autoSpaceDE w:val="0"/>
        <w:autoSpaceDN w:val="0"/>
        <w:adjustRightInd w:val="0"/>
        <w:ind w:left="2880" w:hanging="720"/>
      </w:pPr>
      <w:r>
        <w:t>A)</w:t>
      </w:r>
      <w:r>
        <w:tab/>
        <w:t xml:space="preserve">Opacity, when the steam generator is greater than 250 million Btu per hour heat input unless: </w:t>
      </w:r>
    </w:p>
    <w:p w14:paraId="7F061E8B" w14:textId="77777777" w:rsidR="00374A35" w:rsidRDefault="00374A35" w:rsidP="007B555C">
      <w:pPr>
        <w:widowControl w:val="0"/>
        <w:autoSpaceDE w:val="0"/>
        <w:autoSpaceDN w:val="0"/>
        <w:adjustRightInd w:val="0"/>
      </w:pPr>
    </w:p>
    <w:p w14:paraId="28CEB169" w14:textId="77777777" w:rsidR="007A16C1" w:rsidRDefault="007A16C1" w:rsidP="007A16C1">
      <w:pPr>
        <w:widowControl w:val="0"/>
        <w:autoSpaceDE w:val="0"/>
        <w:autoSpaceDN w:val="0"/>
        <w:adjustRightInd w:val="0"/>
        <w:ind w:left="3600" w:hanging="720"/>
      </w:pPr>
      <w:proofErr w:type="spellStart"/>
      <w:r>
        <w:t>i</w:t>
      </w:r>
      <w:proofErr w:type="spellEnd"/>
      <w:r>
        <w:t>)</w:t>
      </w:r>
      <w:r>
        <w:tab/>
        <w:t xml:space="preserve">Gas is the only fuel burned; or </w:t>
      </w:r>
    </w:p>
    <w:p w14:paraId="1C78C6D0" w14:textId="77777777" w:rsidR="00374A35" w:rsidRDefault="00374A35" w:rsidP="007B555C">
      <w:pPr>
        <w:widowControl w:val="0"/>
        <w:autoSpaceDE w:val="0"/>
        <w:autoSpaceDN w:val="0"/>
        <w:adjustRightInd w:val="0"/>
      </w:pPr>
    </w:p>
    <w:p w14:paraId="606FDFD8" w14:textId="77777777" w:rsidR="007A16C1" w:rsidRDefault="007A16C1" w:rsidP="007A16C1">
      <w:pPr>
        <w:widowControl w:val="0"/>
        <w:autoSpaceDE w:val="0"/>
        <w:autoSpaceDN w:val="0"/>
        <w:adjustRightInd w:val="0"/>
        <w:ind w:left="3600" w:hanging="720"/>
      </w:pPr>
      <w:r>
        <w:t>ii)</w:t>
      </w:r>
      <w:r>
        <w:tab/>
        <w:t xml:space="preserve">Oil or a mixture of gas and oil are the only fuels burned and the source can comply with the limitations applicable to that source for particulate matter and opacity without use of collection equipment for particulate matter and the source has never been found to be in violation of an applicable visible or particulate emission standard through any administrative or judicial proceedings. </w:t>
      </w:r>
    </w:p>
    <w:p w14:paraId="3EEB49D8" w14:textId="77777777" w:rsidR="00374A35" w:rsidRDefault="00374A35" w:rsidP="007B555C">
      <w:pPr>
        <w:widowControl w:val="0"/>
        <w:autoSpaceDE w:val="0"/>
        <w:autoSpaceDN w:val="0"/>
        <w:adjustRightInd w:val="0"/>
      </w:pPr>
    </w:p>
    <w:p w14:paraId="637CBE48" w14:textId="77777777" w:rsidR="007A16C1" w:rsidRDefault="007A16C1" w:rsidP="007A16C1">
      <w:pPr>
        <w:widowControl w:val="0"/>
        <w:autoSpaceDE w:val="0"/>
        <w:autoSpaceDN w:val="0"/>
        <w:adjustRightInd w:val="0"/>
        <w:ind w:left="2880" w:hanging="720"/>
      </w:pPr>
      <w:r>
        <w:t>B)</w:t>
      </w:r>
      <w:r>
        <w:tab/>
        <w:t xml:space="preserve">Nitrogen oxides, when: </w:t>
      </w:r>
    </w:p>
    <w:p w14:paraId="439CAFB1" w14:textId="77777777" w:rsidR="00374A35" w:rsidRDefault="00374A35" w:rsidP="007B555C">
      <w:pPr>
        <w:widowControl w:val="0"/>
        <w:autoSpaceDE w:val="0"/>
        <w:autoSpaceDN w:val="0"/>
        <w:adjustRightInd w:val="0"/>
      </w:pPr>
    </w:p>
    <w:p w14:paraId="6D0CE37A" w14:textId="77777777" w:rsidR="007A16C1" w:rsidRDefault="007A16C1" w:rsidP="007A16C1">
      <w:pPr>
        <w:widowControl w:val="0"/>
        <w:autoSpaceDE w:val="0"/>
        <w:autoSpaceDN w:val="0"/>
        <w:adjustRightInd w:val="0"/>
        <w:ind w:left="3600" w:hanging="720"/>
      </w:pPr>
      <w:proofErr w:type="spellStart"/>
      <w:r>
        <w:t>i</w:t>
      </w:r>
      <w:proofErr w:type="spellEnd"/>
      <w:r>
        <w:t>)</w:t>
      </w:r>
      <w:r>
        <w:tab/>
        <w:t xml:space="preserve">The steam generator is greater than 1000 million Btu per hour heat input; </w:t>
      </w:r>
    </w:p>
    <w:p w14:paraId="227FB8C8" w14:textId="77777777" w:rsidR="00374A35" w:rsidRDefault="00374A35" w:rsidP="007B555C">
      <w:pPr>
        <w:widowControl w:val="0"/>
        <w:autoSpaceDE w:val="0"/>
        <w:autoSpaceDN w:val="0"/>
        <w:adjustRightInd w:val="0"/>
      </w:pPr>
    </w:p>
    <w:p w14:paraId="18E09512" w14:textId="77777777" w:rsidR="007A16C1" w:rsidRDefault="007A16C1" w:rsidP="007A16C1">
      <w:pPr>
        <w:widowControl w:val="0"/>
        <w:autoSpaceDE w:val="0"/>
        <w:autoSpaceDN w:val="0"/>
        <w:adjustRightInd w:val="0"/>
        <w:ind w:left="3600" w:hanging="720"/>
      </w:pPr>
      <w:r>
        <w:t>ii)</w:t>
      </w:r>
      <w:r>
        <w:tab/>
        <w:t xml:space="preserve">The facility is located in an Air Quality Control Region where the Administrator, U.S. Environmental Protection Agency, has specifically determined pursuant to Section 107 of the Clean Air Act (42 U.S.C. 7407) that a control strategy for nitrogen dioxide is necessary to attain the national standards; and </w:t>
      </w:r>
    </w:p>
    <w:p w14:paraId="7AC380CB" w14:textId="77777777" w:rsidR="00374A35" w:rsidRDefault="00374A35" w:rsidP="007B555C">
      <w:pPr>
        <w:widowControl w:val="0"/>
        <w:autoSpaceDE w:val="0"/>
        <w:autoSpaceDN w:val="0"/>
        <w:adjustRightInd w:val="0"/>
      </w:pPr>
    </w:p>
    <w:p w14:paraId="3930E0DC" w14:textId="77777777" w:rsidR="007A16C1" w:rsidRDefault="007A16C1" w:rsidP="007A16C1">
      <w:pPr>
        <w:widowControl w:val="0"/>
        <w:autoSpaceDE w:val="0"/>
        <w:autoSpaceDN w:val="0"/>
        <w:adjustRightInd w:val="0"/>
        <w:ind w:left="3600" w:hanging="720"/>
      </w:pPr>
      <w:r>
        <w:t>iii)</w:t>
      </w:r>
      <w:r>
        <w:tab/>
        <w:t xml:space="preserve">The owner or operator has not demonstrated during compliance tests that the source emits nitrogen oxides at levels less than 30% or more below the emissions standards applicable to that source.  Such compliance tests shall be performed pursuant to regulations promulgated by the U.S. Environmental Protection Agency under Section 111 of the Clean Air Act (42 USC 7411), as amended.  </w:t>
      </w:r>
      <w:r>
        <w:rPr>
          <w:i/>
          <w:iCs/>
        </w:rPr>
        <w:t xml:space="preserve">The provisions of Section 111 of the Clean Air Act...relating to standards </w:t>
      </w:r>
      <w:r>
        <w:rPr>
          <w:i/>
          <w:iCs/>
        </w:rPr>
        <w:lastRenderedPageBreak/>
        <w:t xml:space="preserve">of performance for new stationary sources...are applicable in this </w:t>
      </w:r>
      <w:r w:rsidR="0033596A">
        <w:rPr>
          <w:i/>
          <w:iCs/>
        </w:rPr>
        <w:t>S</w:t>
      </w:r>
      <w:r>
        <w:rPr>
          <w:i/>
          <w:iCs/>
        </w:rPr>
        <w:t>tate and are enforceable under [</w:t>
      </w:r>
      <w:r w:rsidR="0033596A">
        <w:rPr>
          <w:i/>
          <w:iCs/>
        </w:rPr>
        <w:t>t</w:t>
      </w:r>
      <w:r>
        <w:rPr>
          <w:i/>
          <w:iCs/>
        </w:rPr>
        <w:t xml:space="preserve">he Environmental Protection </w:t>
      </w:r>
      <w:r w:rsidR="0033596A">
        <w:rPr>
          <w:i/>
          <w:iCs/>
        </w:rPr>
        <w:t xml:space="preserve">Act].  (Ill. Rev. Stat. </w:t>
      </w:r>
      <w:proofErr w:type="spellStart"/>
      <w:r w:rsidR="0033596A">
        <w:rPr>
          <w:i/>
          <w:iCs/>
        </w:rPr>
        <w:t>ch.</w:t>
      </w:r>
      <w:proofErr w:type="spellEnd"/>
      <w:r w:rsidR="0033596A">
        <w:rPr>
          <w:i/>
          <w:iCs/>
        </w:rPr>
        <w:t xml:space="preserve"> 111½</w:t>
      </w:r>
      <w:r>
        <w:rPr>
          <w:i/>
          <w:iCs/>
        </w:rPr>
        <w:t>, par. 1009.1(b))</w:t>
      </w:r>
      <w:r>
        <w:t xml:space="preserve"> </w:t>
      </w:r>
    </w:p>
    <w:p w14:paraId="232F2E2B" w14:textId="77777777" w:rsidR="00374A35" w:rsidRDefault="00374A35" w:rsidP="007B555C">
      <w:pPr>
        <w:widowControl w:val="0"/>
        <w:autoSpaceDE w:val="0"/>
        <w:autoSpaceDN w:val="0"/>
        <w:adjustRightInd w:val="0"/>
      </w:pPr>
    </w:p>
    <w:p w14:paraId="640ADDB8" w14:textId="77777777" w:rsidR="007A16C1" w:rsidRDefault="007A16C1" w:rsidP="007A16C1">
      <w:pPr>
        <w:widowControl w:val="0"/>
        <w:autoSpaceDE w:val="0"/>
        <w:autoSpaceDN w:val="0"/>
        <w:adjustRightInd w:val="0"/>
        <w:ind w:left="2880" w:hanging="720"/>
      </w:pPr>
      <w:r>
        <w:t>C)</w:t>
      </w:r>
      <w:r>
        <w:tab/>
        <w:t xml:space="preserve">Sulfur dioxide, when the steam generator is greater than 250 million Btu per hour heat input and which has installed and operates sulfur dioxide pollution control equipment. </w:t>
      </w:r>
    </w:p>
    <w:p w14:paraId="0FE8BB3B" w14:textId="77777777" w:rsidR="00374A35" w:rsidRDefault="00374A35" w:rsidP="007B555C">
      <w:pPr>
        <w:widowControl w:val="0"/>
        <w:autoSpaceDE w:val="0"/>
        <w:autoSpaceDN w:val="0"/>
        <w:adjustRightInd w:val="0"/>
      </w:pPr>
    </w:p>
    <w:p w14:paraId="6E6382AC" w14:textId="77777777" w:rsidR="007A16C1" w:rsidRDefault="007A16C1" w:rsidP="007A16C1">
      <w:pPr>
        <w:widowControl w:val="0"/>
        <w:autoSpaceDE w:val="0"/>
        <w:autoSpaceDN w:val="0"/>
        <w:adjustRightInd w:val="0"/>
        <w:ind w:left="2880" w:hanging="720"/>
      </w:pPr>
      <w:r>
        <w:t>D)</w:t>
      </w:r>
      <w:r>
        <w:tab/>
        <w:t>Percent oxygen or carbon dioxide, when measurements of oxygen or carbon dioxide in the flue gas are required in regulations adopted by the U.S. Environmental Protection Agency under Section 111 of the Cle</w:t>
      </w:r>
      <w:r w:rsidR="0033596A">
        <w:t>an Air Act, (42 USC 7411)</w:t>
      </w:r>
      <w:r>
        <w:t xml:space="preserve"> as amended, to convert sulfur dioxide or nitrogen oxide continuous emissions data to units of the emission standard applicable to that source.  </w:t>
      </w:r>
      <w:r>
        <w:rPr>
          <w:i/>
          <w:iCs/>
        </w:rPr>
        <w:t xml:space="preserve">The provisions of Section 111 of the Clean Air Act relating to standards of performance for new stationary sources are applicable in this </w:t>
      </w:r>
      <w:r w:rsidR="0033596A">
        <w:rPr>
          <w:i/>
          <w:iCs/>
        </w:rPr>
        <w:t>S</w:t>
      </w:r>
      <w:r>
        <w:rPr>
          <w:i/>
          <w:iCs/>
        </w:rPr>
        <w:t>tate and are enforceable under [</w:t>
      </w:r>
      <w:r w:rsidR="0033596A">
        <w:rPr>
          <w:i/>
          <w:iCs/>
        </w:rPr>
        <w:t>t</w:t>
      </w:r>
      <w:r>
        <w:rPr>
          <w:i/>
          <w:iCs/>
        </w:rPr>
        <w:t>he Illinois Environmental Protection A</w:t>
      </w:r>
      <w:r w:rsidR="0033596A">
        <w:rPr>
          <w:i/>
          <w:iCs/>
        </w:rPr>
        <w:t xml:space="preserve">ct].  (Ill. Rev. Stat., </w:t>
      </w:r>
      <w:proofErr w:type="spellStart"/>
      <w:r w:rsidR="0033596A">
        <w:rPr>
          <w:i/>
          <w:iCs/>
        </w:rPr>
        <w:t>ch.</w:t>
      </w:r>
      <w:proofErr w:type="spellEnd"/>
      <w:r w:rsidR="0033596A">
        <w:rPr>
          <w:i/>
          <w:iCs/>
        </w:rPr>
        <w:t xml:space="preserve"> 111½</w:t>
      </w:r>
      <w:r>
        <w:rPr>
          <w:i/>
          <w:iCs/>
        </w:rPr>
        <w:t>, par. 1009.1(b))</w:t>
      </w:r>
      <w:r>
        <w:t xml:space="preserve"> </w:t>
      </w:r>
    </w:p>
    <w:p w14:paraId="7A99022F" w14:textId="77777777" w:rsidR="00374A35" w:rsidRDefault="00374A35" w:rsidP="007B555C">
      <w:pPr>
        <w:widowControl w:val="0"/>
        <w:autoSpaceDE w:val="0"/>
        <w:autoSpaceDN w:val="0"/>
        <w:adjustRightInd w:val="0"/>
      </w:pPr>
    </w:p>
    <w:p w14:paraId="5AF5AF19" w14:textId="77777777" w:rsidR="007A16C1" w:rsidRDefault="007A16C1" w:rsidP="007A16C1">
      <w:pPr>
        <w:widowControl w:val="0"/>
        <w:autoSpaceDE w:val="0"/>
        <w:autoSpaceDN w:val="0"/>
        <w:adjustRightInd w:val="0"/>
        <w:ind w:left="2160" w:hanging="720"/>
      </w:pPr>
      <w:r>
        <w:t>2)</w:t>
      </w:r>
      <w:r>
        <w:tab/>
        <w:t xml:space="preserve">Sulfuric acid plants of greater than 300 tons per day production capacity, the production being expressed as 100 percent acid, shall monitor for sulfur dioxide at each point of sulfur dioxide emission. </w:t>
      </w:r>
    </w:p>
    <w:p w14:paraId="1E4B2CD3" w14:textId="77777777" w:rsidR="00374A35" w:rsidRDefault="00374A35" w:rsidP="007B555C">
      <w:pPr>
        <w:widowControl w:val="0"/>
        <w:autoSpaceDE w:val="0"/>
        <w:autoSpaceDN w:val="0"/>
        <w:adjustRightInd w:val="0"/>
      </w:pPr>
    </w:p>
    <w:p w14:paraId="45034CDB" w14:textId="77777777" w:rsidR="007A16C1" w:rsidRDefault="007A16C1" w:rsidP="007A16C1">
      <w:pPr>
        <w:widowControl w:val="0"/>
        <w:autoSpaceDE w:val="0"/>
        <w:autoSpaceDN w:val="0"/>
        <w:adjustRightInd w:val="0"/>
        <w:ind w:left="2160" w:hanging="720"/>
      </w:pPr>
      <w:r>
        <w:t>3)</w:t>
      </w:r>
      <w:r>
        <w:tab/>
        <w:t xml:space="preserve">Nitric acid plants of greater than 300 tons per day production capacity, the production capacity being expressed as 100 percent acid, located in an Air Quality Control Region where the Administrator, U.S. Environmental Protection Agency, has specifically determined pursuant to Section 107 of the Clean Air Act that a control strategy for nitrogen dioxide is necessary to attain the national standard, shall monitor for nitrogen oxides at each point of nitrogen oxide emission. </w:t>
      </w:r>
    </w:p>
    <w:p w14:paraId="2AA83BDC" w14:textId="77777777" w:rsidR="00374A35" w:rsidRDefault="00374A35" w:rsidP="007B555C">
      <w:pPr>
        <w:widowControl w:val="0"/>
        <w:autoSpaceDE w:val="0"/>
        <w:autoSpaceDN w:val="0"/>
        <w:adjustRightInd w:val="0"/>
      </w:pPr>
    </w:p>
    <w:p w14:paraId="130D39A5" w14:textId="77777777" w:rsidR="007A16C1" w:rsidRDefault="007A16C1" w:rsidP="007A16C1">
      <w:pPr>
        <w:widowControl w:val="0"/>
        <w:autoSpaceDE w:val="0"/>
        <w:autoSpaceDN w:val="0"/>
        <w:adjustRightInd w:val="0"/>
        <w:ind w:left="2160" w:hanging="720"/>
      </w:pPr>
      <w:r>
        <w:t>4)</w:t>
      </w:r>
      <w:r>
        <w:tab/>
        <w:t xml:space="preserve">Petroleum refineries shall monitor for opacity at each catalyst regenerator for fluid bed catalytic cracking units of greater than 20,000 barrels per day fresh feed capacity. </w:t>
      </w:r>
    </w:p>
    <w:p w14:paraId="7D6936CB" w14:textId="77777777" w:rsidR="00374A35" w:rsidRDefault="00374A35" w:rsidP="007B555C">
      <w:pPr>
        <w:widowControl w:val="0"/>
        <w:autoSpaceDE w:val="0"/>
        <w:autoSpaceDN w:val="0"/>
        <w:adjustRightInd w:val="0"/>
      </w:pPr>
    </w:p>
    <w:p w14:paraId="4868115E" w14:textId="77777777" w:rsidR="007A16C1" w:rsidRDefault="007A16C1" w:rsidP="007A16C1">
      <w:pPr>
        <w:widowControl w:val="0"/>
        <w:autoSpaceDE w:val="0"/>
        <w:autoSpaceDN w:val="0"/>
        <w:adjustRightInd w:val="0"/>
        <w:ind w:left="1440" w:hanging="720"/>
      </w:pPr>
      <w:r>
        <w:t>b)</w:t>
      </w:r>
      <w:r>
        <w:tab/>
        <w:t xml:space="preserve">Except for sources permitted to use alternative monitoring pursuant to Section 201.402, compliance with the Illinois emissions limitations by the owners and operators of emission sources required to monitor continuously shall be determined by the use of equipment which meets the performance specifications set forth in paragraphs 3.1 through 3.8 of 40 CFR 51, Appendix P (1987) (this incorporation includes no later amendments or editions), and relevant regulations promulgated by the U.S. Environmental Protection Agency under Section 111 of the Clean Air Act (42 USC 7411), as amended. </w:t>
      </w:r>
      <w:r>
        <w:rPr>
          <w:i/>
          <w:iCs/>
        </w:rPr>
        <w:t xml:space="preserve">The provisions of Section 111 of the Clean Air Act relating to standards of performance for new stationary sources...are applicable in this </w:t>
      </w:r>
      <w:r w:rsidR="0033596A">
        <w:rPr>
          <w:i/>
          <w:iCs/>
        </w:rPr>
        <w:t>S</w:t>
      </w:r>
      <w:r>
        <w:rPr>
          <w:i/>
          <w:iCs/>
        </w:rPr>
        <w:t>tate and are enforceable under [</w:t>
      </w:r>
      <w:r w:rsidR="0033596A">
        <w:rPr>
          <w:i/>
          <w:iCs/>
        </w:rPr>
        <w:t>t</w:t>
      </w:r>
      <w:r>
        <w:rPr>
          <w:i/>
          <w:iCs/>
        </w:rPr>
        <w:t xml:space="preserve">he </w:t>
      </w:r>
      <w:r>
        <w:rPr>
          <w:i/>
          <w:iCs/>
        </w:rPr>
        <w:lastRenderedPageBreak/>
        <w:t>Environmental Protection A</w:t>
      </w:r>
      <w:r w:rsidR="0033596A">
        <w:rPr>
          <w:i/>
          <w:iCs/>
        </w:rPr>
        <w:t xml:space="preserve">ct].  (Ill. Rev. Stat., </w:t>
      </w:r>
      <w:proofErr w:type="spellStart"/>
      <w:r w:rsidR="0033596A">
        <w:rPr>
          <w:i/>
          <w:iCs/>
        </w:rPr>
        <w:t>ch.</w:t>
      </w:r>
      <w:proofErr w:type="spellEnd"/>
      <w:r w:rsidR="0033596A">
        <w:rPr>
          <w:i/>
          <w:iCs/>
        </w:rPr>
        <w:t xml:space="preserve"> 111½</w:t>
      </w:r>
      <w:r>
        <w:rPr>
          <w:i/>
          <w:iCs/>
        </w:rPr>
        <w:t>, par. 1009.1(b))</w:t>
      </w:r>
      <w:r>
        <w:t xml:space="preserve"> </w:t>
      </w:r>
    </w:p>
    <w:p w14:paraId="5B6F144B" w14:textId="77777777" w:rsidR="007A16C1" w:rsidRDefault="007A16C1" w:rsidP="007B555C">
      <w:pPr>
        <w:widowControl w:val="0"/>
        <w:autoSpaceDE w:val="0"/>
        <w:autoSpaceDN w:val="0"/>
        <w:adjustRightInd w:val="0"/>
      </w:pPr>
    </w:p>
    <w:p w14:paraId="4F6A7695" w14:textId="77777777" w:rsidR="007A16C1" w:rsidRDefault="007A16C1" w:rsidP="007A16C1">
      <w:pPr>
        <w:widowControl w:val="0"/>
        <w:autoSpaceDE w:val="0"/>
        <w:autoSpaceDN w:val="0"/>
        <w:adjustRightInd w:val="0"/>
        <w:ind w:left="1440" w:hanging="720"/>
      </w:pPr>
      <w:r>
        <w:t xml:space="preserve">(Source:  Amended at 15 Ill. Reg. 17699, effective November 26, 1991) </w:t>
      </w:r>
    </w:p>
    <w:sectPr w:rsidR="007A16C1" w:rsidSect="007A16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A16C1"/>
    <w:rsid w:val="0033596A"/>
    <w:rsid w:val="00374A35"/>
    <w:rsid w:val="003E272D"/>
    <w:rsid w:val="005C3366"/>
    <w:rsid w:val="00745308"/>
    <w:rsid w:val="007A16C1"/>
    <w:rsid w:val="007B555C"/>
    <w:rsid w:val="00E8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F11D06"/>
  <w15:docId w15:val="{2CC0F9A0-1774-463F-A31F-F91F6BF1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33596A"/>
    <w:pPr>
      <w:ind w:left="720" w:hanging="360"/>
    </w:pPr>
  </w:style>
  <w:style w:type="paragraph" w:styleId="BodyTextIndent">
    <w:name w:val="Body Text Indent"/>
    <w:basedOn w:val="Normal"/>
    <w:rsid w:val="0033596A"/>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Shipley, Melissa A.</cp:lastModifiedBy>
  <cp:revision>4</cp:revision>
  <dcterms:created xsi:type="dcterms:W3CDTF">2012-06-21T19:02:00Z</dcterms:created>
  <dcterms:modified xsi:type="dcterms:W3CDTF">2025-05-12T14:19:00Z</dcterms:modified>
</cp:coreProperties>
</file>