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FC" w:rsidRDefault="00341AFC" w:rsidP="00341A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AFC" w:rsidRDefault="00341AFC" w:rsidP="00341A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201.281  Permit Monitoring Equipment Requirements</w:t>
      </w:r>
      <w:r>
        <w:t xml:space="preserve"> </w:t>
      </w:r>
    </w:p>
    <w:p w:rsidR="00341AFC" w:rsidRDefault="00341AFC" w:rsidP="00341AFC">
      <w:pPr>
        <w:widowControl w:val="0"/>
        <w:autoSpaceDE w:val="0"/>
        <w:autoSpaceDN w:val="0"/>
        <w:adjustRightInd w:val="0"/>
      </w:pPr>
    </w:p>
    <w:p w:rsidR="00341AFC" w:rsidRDefault="00341AFC" w:rsidP="00341AFC">
      <w:pPr>
        <w:widowControl w:val="0"/>
        <w:autoSpaceDE w:val="0"/>
        <w:autoSpaceDN w:val="0"/>
        <w:adjustRightInd w:val="0"/>
      </w:pPr>
      <w:r>
        <w:t>Except as otherwise provided at Subpart L of this Part, every emission s</w:t>
      </w:r>
      <w:r w:rsidR="005370C5">
        <w:t xml:space="preserve">ource or air pollution control </w:t>
      </w:r>
      <w:r>
        <w:t>equipment shall be equipped wi</w:t>
      </w:r>
      <w:r w:rsidR="005370C5">
        <w:t xml:space="preserve">th such monitoring instruments as may be required as a </w:t>
      </w:r>
      <w:r>
        <w:t xml:space="preserve">condition to a permit issued by the Agency.  The permit may require that such monitoring instruments be </w:t>
      </w:r>
      <w:r w:rsidR="005370C5">
        <w:t>continuous or intermittent. Such monitoring instruments shall be installed</w:t>
      </w:r>
      <w:r>
        <w:t xml:space="preserve">, maintained and operated at the expense of the owner or operator of the emission source or air pollution control equipment.  A permit condition to monitor is appealable to the Board pursuant to Section 40 of the Act. </w:t>
      </w:r>
    </w:p>
    <w:p w:rsidR="00341AFC" w:rsidRDefault="00341AFC" w:rsidP="00341AFC">
      <w:pPr>
        <w:widowControl w:val="0"/>
        <w:autoSpaceDE w:val="0"/>
        <w:autoSpaceDN w:val="0"/>
        <w:adjustRightInd w:val="0"/>
      </w:pPr>
    </w:p>
    <w:p w:rsidR="00341AFC" w:rsidRDefault="00341AFC" w:rsidP="00341A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2066, effective February 3, 1989) </w:t>
      </w:r>
    </w:p>
    <w:sectPr w:rsidR="00341AFC" w:rsidSect="00341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AFC"/>
    <w:rsid w:val="00341AFC"/>
    <w:rsid w:val="005370C5"/>
    <w:rsid w:val="005C3366"/>
    <w:rsid w:val="0068586F"/>
    <w:rsid w:val="007D0637"/>
    <w:rsid w:val="00C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