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9A" w:rsidRDefault="00A33D9A" w:rsidP="00A33D9A">
      <w:pPr>
        <w:rPr>
          <w:rFonts w:eastAsia="Calibri"/>
          <w:b/>
          <w:color w:val="000000"/>
        </w:rPr>
      </w:pPr>
    </w:p>
    <w:p w:rsidR="00A33D9A" w:rsidRPr="00E77AC0" w:rsidRDefault="00A33D9A" w:rsidP="00A33D9A">
      <w:pPr>
        <w:rPr>
          <w:rFonts w:eastAsia="Calibri"/>
          <w:b/>
          <w:color w:val="000000"/>
        </w:rPr>
      </w:pPr>
      <w:r w:rsidRPr="00E77AC0">
        <w:rPr>
          <w:rFonts w:eastAsia="Calibri"/>
          <w:b/>
          <w:color w:val="000000"/>
        </w:rPr>
        <w:t>Section 190.135  Narrative Collection Program Goals</w:t>
      </w:r>
    </w:p>
    <w:p w:rsidR="00A33D9A" w:rsidRPr="00E77AC0" w:rsidRDefault="00A33D9A" w:rsidP="00003340">
      <w:pPr>
        <w:rPr>
          <w:rFonts w:eastAsia="Calibri"/>
          <w:color w:val="000000"/>
        </w:rPr>
      </w:pPr>
    </w:p>
    <w:p w:rsidR="00A33D9A" w:rsidRPr="00E77AC0" w:rsidRDefault="00A33D9A" w:rsidP="00A33D9A">
      <w:pPr>
        <w:ind w:left="1440" w:hanging="720"/>
        <w:rPr>
          <w:rFonts w:eastAsia="Calibri"/>
          <w:color w:val="000000"/>
        </w:rPr>
      </w:pPr>
      <w:r w:rsidRPr="00E77AC0">
        <w:rPr>
          <w:rFonts w:eastAsia="Calibri"/>
          <w:color w:val="000000"/>
        </w:rPr>
        <w:t>a)</w:t>
      </w:r>
      <w:r>
        <w:rPr>
          <w:rFonts w:eastAsia="Calibri"/>
          <w:color w:val="000000"/>
        </w:rPr>
        <w:tab/>
      </w:r>
      <w:r w:rsidRPr="00E77AC0">
        <w:rPr>
          <w:rFonts w:eastAsia="Calibri"/>
          <w:color w:val="000000"/>
        </w:rPr>
        <w:t>Collection Program Goals</w:t>
      </w:r>
    </w:p>
    <w:p w:rsidR="00A33D9A" w:rsidRPr="00E77AC0" w:rsidRDefault="00A33D9A" w:rsidP="00003340">
      <w:pPr>
        <w:rPr>
          <w:rFonts w:eastAsia="Calibri"/>
          <w:color w:val="000000"/>
        </w:rPr>
      </w:pPr>
    </w:p>
    <w:p w:rsidR="00A33D9A" w:rsidRPr="00E77AC0" w:rsidRDefault="00A33D9A" w:rsidP="00A33D9A">
      <w:pPr>
        <w:ind w:left="2160" w:hanging="720"/>
        <w:rPr>
          <w:rFonts w:eastAsia="Calibri"/>
          <w:color w:val="000000"/>
        </w:rPr>
      </w:pPr>
      <w:r w:rsidRPr="00E77AC0">
        <w:rPr>
          <w:rFonts w:eastAsia="Calibri"/>
          <w:color w:val="000000"/>
        </w:rPr>
        <w:t>1)</w:t>
      </w:r>
      <w:r>
        <w:rPr>
          <w:rFonts w:eastAsia="Calibri"/>
          <w:color w:val="000000"/>
        </w:rPr>
        <w:tab/>
      </w:r>
      <w:r w:rsidRPr="00E77AC0">
        <w:rPr>
          <w:rFonts w:eastAsia="Calibri"/>
          <w:color w:val="000000"/>
        </w:rPr>
        <w:t xml:space="preserve">Each collection program must maintain at least </w:t>
      </w:r>
      <w:r w:rsidR="002A2A40">
        <w:rPr>
          <w:rFonts w:eastAsia="Calibri"/>
          <w:color w:val="000000"/>
        </w:rPr>
        <w:t>525</w:t>
      </w:r>
      <w:r w:rsidRPr="00E77AC0">
        <w:rPr>
          <w:rFonts w:eastAsia="Calibri"/>
          <w:color w:val="000000"/>
        </w:rPr>
        <w:t xml:space="preserve"> collection locations statewide, or 20% more collection locations statewide than were maintained during the previous calendar year, whichever is less.</w:t>
      </w:r>
    </w:p>
    <w:p w:rsidR="00A33D9A" w:rsidRPr="00E77AC0" w:rsidRDefault="00A33D9A" w:rsidP="00003340">
      <w:pPr>
        <w:rPr>
          <w:rFonts w:eastAsia="Calibri"/>
          <w:color w:val="000000"/>
        </w:rPr>
      </w:pPr>
    </w:p>
    <w:p w:rsidR="00A33D9A" w:rsidRPr="00E77AC0" w:rsidRDefault="00A33D9A" w:rsidP="00A33D9A">
      <w:pPr>
        <w:ind w:left="2160" w:hanging="720"/>
        <w:rPr>
          <w:rFonts w:eastAsia="Calibri"/>
          <w:color w:val="000000"/>
        </w:rPr>
      </w:pPr>
      <w:r w:rsidRPr="00E77AC0">
        <w:rPr>
          <w:rFonts w:eastAsia="Calibri"/>
          <w:color w:val="000000"/>
        </w:rPr>
        <w:t>2)</w:t>
      </w:r>
      <w:r>
        <w:rPr>
          <w:rFonts w:eastAsia="Calibri"/>
          <w:color w:val="000000"/>
        </w:rPr>
        <w:tab/>
      </w:r>
      <w:r w:rsidRPr="00E77AC0">
        <w:rPr>
          <w:rFonts w:eastAsia="Calibri"/>
          <w:color w:val="000000"/>
        </w:rPr>
        <w:t xml:space="preserve">Each collection program must engage in outreach to its collection locations, as </w:t>
      </w:r>
      <w:r w:rsidR="00F560AF">
        <w:rPr>
          <w:rFonts w:eastAsia="Calibri"/>
          <w:color w:val="000000"/>
        </w:rPr>
        <w:t>follows</w:t>
      </w:r>
      <w:r w:rsidRPr="00E77AC0">
        <w:rPr>
          <w:rFonts w:eastAsia="Calibri"/>
          <w:color w:val="000000"/>
        </w:rPr>
        <w:t>:</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A)</w:t>
      </w:r>
      <w:r>
        <w:rPr>
          <w:rFonts w:eastAsia="Calibri"/>
          <w:color w:val="000000"/>
        </w:rPr>
        <w:tab/>
      </w:r>
      <w:r w:rsidRPr="00E77AC0">
        <w:rPr>
          <w:rFonts w:eastAsia="Calibri"/>
          <w:color w:val="000000"/>
        </w:rPr>
        <w:t xml:space="preserve">Biannual in-person on-site outreach, by a collection program representative, to any collection location in its collection program that returned </w:t>
      </w:r>
      <w:r w:rsidR="00F560AF">
        <w:rPr>
          <w:rFonts w:eastAsia="Calibri"/>
          <w:color w:val="000000"/>
        </w:rPr>
        <w:t>20</w:t>
      </w:r>
      <w:r w:rsidRPr="00E77AC0">
        <w:rPr>
          <w:rFonts w:eastAsia="Calibri"/>
          <w:color w:val="000000"/>
        </w:rPr>
        <w:t xml:space="preserve"> or fewer mercury thermostats during either of the previous two calendar years.</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B)</w:t>
      </w:r>
      <w:r>
        <w:rPr>
          <w:rFonts w:eastAsia="Calibri"/>
          <w:color w:val="000000"/>
        </w:rPr>
        <w:tab/>
      </w:r>
      <w:r w:rsidRPr="00E77AC0">
        <w:rPr>
          <w:rFonts w:eastAsia="Calibri"/>
          <w:color w:val="000000"/>
        </w:rPr>
        <w:t xml:space="preserve">Quarterly telephonic outreach to any collection location in its collection program that returned </w:t>
      </w:r>
      <w:r w:rsidR="00F560AF">
        <w:rPr>
          <w:rFonts w:eastAsia="Calibri"/>
          <w:color w:val="000000"/>
        </w:rPr>
        <w:t>40</w:t>
      </w:r>
      <w:r w:rsidRPr="00E77AC0">
        <w:rPr>
          <w:rFonts w:eastAsia="Calibri"/>
          <w:color w:val="000000"/>
        </w:rPr>
        <w:t xml:space="preserve"> or fewer mercury thermostats during the previous calendar year.</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C)</w:t>
      </w:r>
      <w:r>
        <w:rPr>
          <w:rFonts w:eastAsia="Calibri"/>
          <w:color w:val="000000"/>
        </w:rPr>
        <w:tab/>
      </w:r>
      <w:r w:rsidRPr="00E77AC0">
        <w:rPr>
          <w:rFonts w:eastAsia="Calibri"/>
          <w:color w:val="000000"/>
        </w:rPr>
        <w:t>Quarterly electronic outreach to all collection locations in its collection program.</w:t>
      </w:r>
    </w:p>
    <w:p w:rsidR="00A33D9A" w:rsidRPr="00E77AC0" w:rsidRDefault="00A33D9A" w:rsidP="00003340">
      <w:pPr>
        <w:rPr>
          <w:rFonts w:eastAsia="Calibri"/>
          <w:color w:val="000000"/>
        </w:rPr>
      </w:pPr>
    </w:p>
    <w:p w:rsidR="00A33D9A" w:rsidRPr="00E77AC0" w:rsidRDefault="00A33D9A" w:rsidP="00A33D9A">
      <w:pPr>
        <w:ind w:left="2160" w:hanging="720"/>
        <w:rPr>
          <w:rFonts w:eastAsia="Calibri"/>
          <w:color w:val="000000"/>
        </w:rPr>
      </w:pPr>
      <w:r w:rsidRPr="00E77AC0">
        <w:rPr>
          <w:rFonts w:eastAsia="Calibri"/>
          <w:color w:val="000000"/>
        </w:rPr>
        <w:t>3)</w:t>
      </w:r>
      <w:r>
        <w:rPr>
          <w:rFonts w:eastAsia="Calibri"/>
          <w:color w:val="000000"/>
        </w:rPr>
        <w:tab/>
      </w:r>
      <w:r w:rsidRPr="00E77AC0">
        <w:rPr>
          <w:rFonts w:eastAsia="Calibri"/>
          <w:color w:val="000000"/>
        </w:rPr>
        <w:t>Each collection program must include outreach campaigns targeting additional potential program participants.</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A)</w:t>
      </w:r>
      <w:bookmarkStart w:id="0" w:name="_Hlk508371940"/>
      <w:r>
        <w:rPr>
          <w:rFonts w:eastAsia="Calibri"/>
          <w:color w:val="000000"/>
        </w:rPr>
        <w:tab/>
      </w:r>
      <w:r w:rsidRPr="00E77AC0">
        <w:rPr>
          <w:rFonts w:eastAsia="Calibri"/>
          <w:color w:val="000000"/>
        </w:rPr>
        <w:t>Each of the following categories of persons must be the target of at least two outreach campaigns:</w:t>
      </w:r>
      <w:bookmarkEnd w:id="0"/>
    </w:p>
    <w:p w:rsidR="00A33D9A" w:rsidRPr="00E77AC0" w:rsidRDefault="00A33D9A" w:rsidP="00A33D9A">
      <w:pPr>
        <w:rPr>
          <w:rFonts w:eastAsia="Calibri"/>
          <w:color w:val="000000"/>
        </w:rPr>
      </w:pPr>
    </w:p>
    <w:p w:rsidR="00A33D9A" w:rsidRPr="00E77AC0" w:rsidRDefault="00A33D9A" w:rsidP="00A33D9A">
      <w:pPr>
        <w:ind w:left="2880"/>
        <w:rPr>
          <w:rFonts w:eastAsia="Calibri"/>
          <w:color w:val="000000"/>
        </w:rPr>
      </w:pPr>
      <w:r w:rsidRPr="00E77AC0">
        <w:rPr>
          <w:rFonts w:eastAsia="Calibri"/>
          <w:color w:val="000000"/>
        </w:rPr>
        <w:t>i)</w:t>
      </w:r>
      <w:r>
        <w:rPr>
          <w:rFonts w:eastAsia="Calibri"/>
          <w:color w:val="000000"/>
        </w:rPr>
        <w:tab/>
      </w:r>
      <w:r w:rsidRPr="00E77AC0">
        <w:rPr>
          <w:rFonts w:eastAsia="Calibri"/>
          <w:color w:val="000000"/>
        </w:rPr>
        <w:t>Thermostat wholesalers;</w:t>
      </w:r>
    </w:p>
    <w:p w:rsidR="00A33D9A" w:rsidRPr="00E77AC0" w:rsidRDefault="00A33D9A" w:rsidP="00003340">
      <w:pPr>
        <w:rPr>
          <w:rFonts w:eastAsia="Calibri"/>
          <w:color w:val="000000"/>
        </w:rPr>
      </w:pPr>
    </w:p>
    <w:p w:rsidR="00A33D9A" w:rsidRPr="00E77AC0" w:rsidRDefault="00A33D9A" w:rsidP="00A33D9A">
      <w:pPr>
        <w:ind w:left="2880"/>
        <w:rPr>
          <w:rFonts w:eastAsia="Calibri"/>
          <w:color w:val="000000"/>
        </w:rPr>
      </w:pPr>
      <w:r w:rsidRPr="00E77AC0">
        <w:rPr>
          <w:rFonts w:eastAsia="Calibri"/>
          <w:color w:val="000000"/>
        </w:rPr>
        <w:t>ii)</w:t>
      </w:r>
      <w:r>
        <w:rPr>
          <w:rFonts w:eastAsia="Calibri"/>
          <w:color w:val="000000"/>
        </w:rPr>
        <w:tab/>
      </w:r>
      <w:r w:rsidRPr="00E77AC0">
        <w:rPr>
          <w:rFonts w:eastAsia="Calibri"/>
          <w:color w:val="000000"/>
        </w:rPr>
        <w:t>Contractors;</w:t>
      </w:r>
    </w:p>
    <w:p w:rsidR="00A33D9A" w:rsidRPr="00E77AC0" w:rsidRDefault="00A33D9A" w:rsidP="00003340">
      <w:pPr>
        <w:rPr>
          <w:rFonts w:eastAsia="Calibri"/>
          <w:color w:val="000000"/>
        </w:rPr>
      </w:pPr>
    </w:p>
    <w:p w:rsidR="00A33D9A" w:rsidRPr="00E77AC0" w:rsidRDefault="00A33D9A" w:rsidP="00A33D9A">
      <w:pPr>
        <w:ind w:left="2160" w:firstLine="720"/>
        <w:rPr>
          <w:rFonts w:eastAsia="Calibri"/>
          <w:color w:val="000000"/>
        </w:rPr>
      </w:pPr>
      <w:r w:rsidRPr="00E77AC0">
        <w:rPr>
          <w:rFonts w:eastAsia="Calibri"/>
          <w:color w:val="000000"/>
        </w:rPr>
        <w:t>iii)</w:t>
      </w:r>
      <w:r>
        <w:rPr>
          <w:rFonts w:eastAsia="Calibri"/>
          <w:color w:val="000000"/>
        </w:rPr>
        <w:tab/>
      </w:r>
      <w:r w:rsidRPr="00E77AC0">
        <w:rPr>
          <w:rFonts w:eastAsia="Calibri"/>
          <w:color w:val="000000"/>
        </w:rPr>
        <w:t>Thermostat retailers; and</w:t>
      </w:r>
    </w:p>
    <w:p w:rsidR="00A33D9A" w:rsidRPr="00E77AC0" w:rsidRDefault="00A33D9A" w:rsidP="00003340">
      <w:pPr>
        <w:rPr>
          <w:rFonts w:eastAsia="Calibri"/>
          <w:color w:val="000000"/>
        </w:rPr>
      </w:pPr>
    </w:p>
    <w:p w:rsidR="00A33D9A" w:rsidRPr="00E77AC0" w:rsidRDefault="00A33D9A" w:rsidP="00A33D9A">
      <w:pPr>
        <w:ind w:left="2160" w:firstLine="720"/>
        <w:rPr>
          <w:rFonts w:eastAsia="Calibri"/>
          <w:color w:val="000000"/>
        </w:rPr>
      </w:pPr>
      <w:r w:rsidRPr="00E77AC0">
        <w:rPr>
          <w:rFonts w:eastAsia="Calibri"/>
          <w:color w:val="000000"/>
        </w:rPr>
        <w:t>iv)</w:t>
      </w:r>
      <w:r>
        <w:rPr>
          <w:rFonts w:eastAsia="Calibri"/>
          <w:color w:val="000000"/>
        </w:rPr>
        <w:tab/>
      </w:r>
      <w:r w:rsidRPr="00E77AC0">
        <w:rPr>
          <w:rFonts w:eastAsia="Calibri"/>
          <w:color w:val="000000"/>
        </w:rPr>
        <w:t>Homeowners.</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B)</w:t>
      </w:r>
      <w:r>
        <w:rPr>
          <w:rFonts w:eastAsia="Calibri"/>
          <w:color w:val="000000"/>
        </w:rPr>
        <w:tab/>
      </w:r>
      <w:r w:rsidRPr="00E77AC0">
        <w:rPr>
          <w:rFonts w:eastAsia="Calibri"/>
          <w:color w:val="000000"/>
        </w:rPr>
        <w:t>Each collection program</w:t>
      </w:r>
      <w:r w:rsidR="00A10656">
        <w:rPr>
          <w:rFonts w:eastAsia="Calibri"/>
          <w:color w:val="000000"/>
        </w:rPr>
        <w:t>'</w:t>
      </w:r>
      <w:r w:rsidRPr="00E77AC0">
        <w:rPr>
          <w:rFonts w:eastAsia="Calibri"/>
          <w:color w:val="000000"/>
        </w:rPr>
        <w:t>s outreach campaigns must include, at a minimum, information about its collection program, a description of the environmental benefits of participating in the collection program, and an offer to participate in its collection program.</w:t>
      </w:r>
    </w:p>
    <w:p w:rsidR="00A33D9A" w:rsidRPr="00E77AC0" w:rsidRDefault="00A33D9A" w:rsidP="00003340">
      <w:pPr>
        <w:rPr>
          <w:rFonts w:eastAsia="Calibri"/>
          <w:color w:val="000000"/>
        </w:rPr>
      </w:pPr>
    </w:p>
    <w:p w:rsidR="00A33D9A" w:rsidRPr="00E77AC0" w:rsidRDefault="00A33D9A" w:rsidP="00A33D9A">
      <w:pPr>
        <w:ind w:left="2880" w:hanging="720"/>
        <w:rPr>
          <w:rFonts w:eastAsia="Calibri"/>
          <w:color w:val="000000"/>
        </w:rPr>
      </w:pPr>
      <w:r w:rsidRPr="00E77AC0">
        <w:rPr>
          <w:rFonts w:eastAsia="Calibri"/>
          <w:color w:val="000000"/>
        </w:rPr>
        <w:t>C)</w:t>
      </w:r>
      <w:r>
        <w:rPr>
          <w:rFonts w:eastAsia="Calibri"/>
          <w:color w:val="000000"/>
        </w:rPr>
        <w:tab/>
      </w:r>
      <w:r w:rsidRPr="00E77AC0">
        <w:rPr>
          <w:rFonts w:eastAsia="Calibri"/>
          <w:color w:val="000000"/>
        </w:rPr>
        <w:t>Nothing in subsection (</w:t>
      </w:r>
      <w:r w:rsidR="00C850C5">
        <w:rPr>
          <w:rFonts w:eastAsia="Calibri"/>
          <w:color w:val="000000"/>
        </w:rPr>
        <w:t>a</w:t>
      </w:r>
      <w:r w:rsidRPr="00E77AC0">
        <w:rPr>
          <w:rFonts w:eastAsia="Calibri"/>
          <w:color w:val="000000"/>
        </w:rPr>
        <w:t>)(3) prohibits any collection program from individually or collectively conducting additional outreach campaigns that target other audiences.</w:t>
      </w:r>
    </w:p>
    <w:p w:rsidR="00A33D9A" w:rsidRPr="00E77AC0" w:rsidRDefault="00A33D9A" w:rsidP="00A33D9A">
      <w:pPr>
        <w:rPr>
          <w:rFonts w:eastAsia="Calibri"/>
          <w:color w:val="000000"/>
        </w:rPr>
      </w:pPr>
    </w:p>
    <w:p w:rsidR="00A33D9A" w:rsidRPr="00E77AC0" w:rsidRDefault="00A33D9A" w:rsidP="00A33D9A">
      <w:pPr>
        <w:ind w:left="1440" w:hanging="720"/>
        <w:rPr>
          <w:rFonts w:eastAsia="Calibri"/>
          <w:color w:val="000000"/>
        </w:rPr>
      </w:pPr>
      <w:r w:rsidRPr="00E77AC0">
        <w:rPr>
          <w:rFonts w:eastAsia="Calibri"/>
          <w:color w:val="000000"/>
        </w:rPr>
        <w:t>b)</w:t>
      </w:r>
      <w:r>
        <w:rPr>
          <w:rFonts w:eastAsia="Calibri"/>
          <w:color w:val="000000"/>
        </w:rPr>
        <w:tab/>
      </w:r>
      <w:r w:rsidRPr="00E77AC0">
        <w:rPr>
          <w:rFonts w:eastAsia="Calibri"/>
          <w:color w:val="000000"/>
        </w:rPr>
        <w:t xml:space="preserve">Each collection program must demonstrate compliance with this Section in its annual reporting </w:t>
      </w:r>
      <w:r w:rsidR="00F560AF">
        <w:rPr>
          <w:rFonts w:eastAsia="Calibri"/>
          <w:color w:val="000000"/>
        </w:rPr>
        <w:t>that</w:t>
      </w:r>
      <w:r w:rsidRPr="00E77AC0">
        <w:rPr>
          <w:rFonts w:eastAsia="Calibri"/>
          <w:color w:val="000000"/>
        </w:rPr>
        <w:t xml:space="preserve"> includes the number of thermostats collected pursuant to Section 190.130(d).</w:t>
      </w:r>
    </w:p>
    <w:p w:rsidR="00A33D9A" w:rsidRPr="00E77AC0" w:rsidRDefault="00A33D9A" w:rsidP="00003340">
      <w:pPr>
        <w:rPr>
          <w:rFonts w:eastAsia="Calibri"/>
          <w:color w:val="000000"/>
        </w:rPr>
      </w:pPr>
      <w:bookmarkStart w:id="1" w:name="_GoBack"/>
      <w:bookmarkEnd w:id="1"/>
    </w:p>
    <w:p w:rsidR="00A33D9A" w:rsidRPr="00E77AC0" w:rsidRDefault="00A33D9A" w:rsidP="00A33D9A">
      <w:pPr>
        <w:ind w:left="1440" w:hanging="720"/>
        <w:rPr>
          <w:rFonts w:eastAsia="Calibri"/>
          <w:color w:val="000000"/>
        </w:rPr>
      </w:pPr>
      <w:r w:rsidRPr="00E77AC0">
        <w:rPr>
          <w:rFonts w:eastAsia="Calibri"/>
          <w:color w:val="000000"/>
        </w:rPr>
        <w:t>c)</w:t>
      </w:r>
      <w:r>
        <w:rPr>
          <w:rFonts w:eastAsia="Calibri"/>
          <w:color w:val="000000"/>
        </w:rPr>
        <w:tab/>
      </w:r>
      <w:r w:rsidRPr="00E77AC0">
        <w:rPr>
          <w:rFonts w:eastAsia="Calibri"/>
          <w:color w:val="000000"/>
        </w:rPr>
        <w:t>Compliance with the Collection Program Goals set forth in subsection (a) will constitute satisfaction of the collection goals established by the Agency in accordance with Section 25(c) of the Act and this Part.</w:t>
      </w:r>
    </w:p>
    <w:p w:rsidR="000174EB" w:rsidRDefault="000174EB" w:rsidP="00093935"/>
    <w:p w:rsidR="00A33D9A" w:rsidRPr="00093935" w:rsidRDefault="00A33D9A" w:rsidP="00A33D9A">
      <w:pPr>
        <w:ind w:firstLine="720"/>
      </w:pPr>
      <w:r>
        <w:t xml:space="preserve">(Source:  Added at 42 Ill. Reg. </w:t>
      </w:r>
      <w:r w:rsidR="00166F7F">
        <w:t>24897</w:t>
      </w:r>
      <w:r>
        <w:t xml:space="preserve">, effective </w:t>
      </w:r>
      <w:r w:rsidR="00166F7F">
        <w:t>December 11, 2018</w:t>
      </w:r>
      <w:r>
        <w:t>)</w:t>
      </w:r>
    </w:p>
    <w:sectPr w:rsidR="00A33D9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5EE" w:rsidRDefault="00AD45EE">
      <w:r>
        <w:separator/>
      </w:r>
    </w:p>
  </w:endnote>
  <w:endnote w:type="continuationSeparator" w:id="0">
    <w:p w:rsidR="00AD45EE" w:rsidRDefault="00AD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5EE" w:rsidRDefault="00AD45EE">
      <w:r>
        <w:separator/>
      </w:r>
    </w:p>
  </w:footnote>
  <w:footnote w:type="continuationSeparator" w:id="0">
    <w:p w:rsidR="00AD45EE" w:rsidRDefault="00AD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EE"/>
    <w:rsid w:val="00000AED"/>
    <w:rsid w:val="00001F1D"/>
    <w:rsid w:val="00003340"/>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F7F"/>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2A4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25E"/>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065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D9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5EE"/>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50C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0A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E9213-4420-41EB-A382-9846E99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D9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1782</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2018-12-21T14:47:00Z</dcterms:created>
  <dcterms:modified xsi:type="dcterms:W3CDTF">2018-12-28T00:02:00Z</dcterms:modified>
</cp:coreProperties>
</file>