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0F" w:rsidRPr="00EF0268" w:rsidRDefault="009D3A0F" w:rsidP="00EF0268"/>
    <w:p w:rsidR="009D3A0F" w:rsidRPr="00EF0268" w:rsidRDefault="009D3A0F" w:rsidP="00EF0268">
      <w:pPr>
        <w:rPr>
          <w:b/>
        </w:rPr>
      </w:pPr>
      <w:bookmarkStart w:id="0" w:name="_GoBack"/>
      <w:r w:rsidRPr="00EF0268">
        <w:rPr>
          <w:b/>
        </w:rPr>
        <w:t>Section 190.110  Applicability</w:t>
      </w:r>
    </w:p>
    <w:bookmarkEnd w:id="0"/>
    <w:p w:rsidR="009D3A0F" w:rsidRPr="00EF0268" w:rsidRDefault="009D3A0F" w:rsidP="00EF0268"/>
    <w:p w:rsidR="000174EB" w:rsidRPr="00EF0268" w:rsidRDefault="009D3A0F" w:rsidP="00EF0268">
      <w:r w:rsidRPr="00EF0268">
        <w:t>This Part applies to thermostat manufacturers required to operate programs for</w:t>
      </w:r>
      <w:r w:rsidR="00DE3250" w:rsidRPr="00EF0268">
        <w:t xml:space="preserve"> the collection, transportation</w:t>
      </w:r>
      <w:r w:rsidRPr="00EF0268">
        <w:t xml:space="preserve"> and proper management of out-of-service mercury thermostats pursuant to Section 15 of the Act.  </w:t>
      </w:r>
    </w:p>
    <w:sectPr w:rsidR="000174EB" w:rsidRPr="00EF02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4A" w:rsidRDefault="00F4384A">
      <w:r>
        <w:separator/>
      </w:r>
    </w:p>
  </w:endnote>
  <w:endnote w:type="continuationSeparator" w:id="0">
    <w:p w:rsidR="00F4384A" w:rsidRDefault="00F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4A" w:rsidRDefault="00F4384A">
      <w:r>
        <w:separator/>
      </w:r>
    </w:p>
  </w:footnote>
  <w:footnote w:type="continuationSeparator" w:id="0">
    <w:p w:rsidR="00F4384A" w:rsidRDefault="00F4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A0F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356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25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268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84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F632-73F8-4C1E-9772-BF5EDE0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209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2014-07-15T18:32:00Z</dcterms:created>
  <dcterms:modified xsi:type="dcterms:W3CDTF">2014-11-25T17:43:00Z</dcterms:modified>
</cp:coreProperties>
</file>