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52" w:rsidRDefault="009D0152" w:rsidP="009D0152">
      <w:pPr>
        <w:widowControl w:val="0"/>
        <w:autoSpaceDE w:val="0"/>
        <w:autoSpaceDN w:val="0"/>
        <w:adjustRightInd w:val="0"/>
      </w:pPr>
      <w:bookmarkStart w:id="0" w:name="_GoBack"/>
      <w:bookmarkEnd w:id="0"/>
    </w:p>
    <w:p w:rsidR="009D0152" w:rsidRDefault="009D0152" w:rsidP="009D0152">
      <w:pPr>
        <w:widowControl w:val="0"/>
        <w:autoSpaceDE w:val="0"/>
        <w:autoSpaceDN w:val="0"/>
        <w:adjustRightInd w:val="0"/>
      </w:pPr>
      <w:r>
        <w:rPr>
          <w:b/>
          <w:bCs/>
        </w:rPr>
        <w:t>Section 104.412  Effect of Filing a Petition:  Stay</w:t>
      </w:r>
      <w:r>
        <w:t xml:space="preserve"> </w:t>
      </w:r>
    </w:p>
    <w:p w:rsidR="009D0152" w:rsidRDefault="009D0152" w:rsidP="009D0152">
      <w:pPr>
        <w:widowControl w:val="0"/>
        <w:autoSpaceDE w:val="0"/>
        <w:autoSpaceDN w:val="0"/>
        <w:adjustRightInd w:val="0"/>
      </w:pPr>
    </w:p>
    <w:p w:rsidR="009D0152" w:rsidRDefault="009D0152" w:rsidP="009D0152">
      <w:pPr>
        <w:widowControl w:val="0"/>
        <w:autoSpaceDE w:val="0"/>
        <w:autoSpaceDN w:val="0"/>
        <w:adjustRightInd w:val="0"/>
        <w:ind w:left="1440" w:hanging="720"/>
      </w:pPr>
      <w:r>
        <w:t>a)</w:t>
      </w:r>
      <w:r>
        <w:tab/>
      </w:r>
      <w:r>
        <w:rPr>
          <w:i/>
          <w:iCs/>
        </w:rPr>
        <w:t>If any person files a petition for an individual adjusted standard in lieu of complying with the applicable regulation within 20 days after the effective date of the regulation, the operation of the regulation shall be stayed as to such person pending the disposition of the petition; provided, however, that the operation of any regulation shall not be stayed if that regulation was adopted by the Board to implement, in whole or in part, the requirements of the federal Clean Air Act, Safe Drinking Water Act or Comprehensive Environmental Response, Compensation, and Liability Act, or the State RCRA, UIC or NPDES programs</w:t>
      </w:r>
      <w:r>
        <w:t xml:space="preserve">.  [415 ILCS 5/28.1(e)] </w:t>
      </w:r>
    </w:p>
    <w:p w:rsidR="00DA58D2" w:rsidRDefault="00DA58D2" w:rsidP="009D0152">
      <w:pPr>
        <w:widowControl w:val="0"/>
        <w:autoSpaceDE w:val="0"/>
        <w:autoSpaceDN w:val="0"/>
        <w:adjustRightInd w:val="0"/>
        <w:ind w:left="1440" w:hanging="720"/>
      </w:pPr>
    </w:p>
    <w:p w:rsidR="009D0152" w:rsidRDefault="009D0152" w:rsidP="009D0152">
      <w:pPr>
        <w:widowControl w:val="0"/>
        <w:autoSpaceDE w:val="0"/>
        <w:autoSpaceDN w:val="0"/>
        <w:adjustRightInd w:val="0"/>
        <w:ind w:left="1440" w:hanging="720"/>
      </w:pPr>
      <w:r>
        <w:t>b)</w:t>
      </w:r>
      <w:r>
        <w:tab/>
      </w:r>
      <w:r>
        <w:rPr>
          <w:i/>
          <w:iCs/>
        </w:rPr>
        <w:t>Within 20 days after the effective date of any regulation that implements in whole or in part the requirements of the Clean Air Act, if any person files a petition for an individual adjusted standard in lieu of complying with the regulation, such source will be exempt from the regulation until the Board makes a final determination on the petition.  If the regulation adopted by the Board from which the individual adjusted standard is sought replaces a previously adopted Board regulation, the source shall be subject to the previously adopted Board regulation until final action is taken by the Board on the petition.</w:t>
      </w:r>
      <w:r>
        <w:t xml:space="preserve">  [415 ILCS 5/28.1(f)] </w:t>
      </w:r>
    </w:p>
    <w:sectPr w:rsidR="009D0152" w:rsidSect="009D01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0152"/>
    <w:rsid w:val="004503D9"/>
    <w:rsid w:val="004F729F"/>
    <w:rsid w:val="00525A0F"/>
    <w:rsid w:val="005C3366"/>
    <w:rsid w:val="009D0152"/>
    <w:rsid w:val="00DA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