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9D" w:rsidRDefault="00DA689D" w:rsidP="00DA689D">
      <w:pPr>
        <w:widowControl w:val="0"/>
        <w:autoSpaceDE w:val="0"/>
        <w:autoSpaceDN w:val="0"/>
        <w:adjustRightInd w:val="0"/>
      </w:pPr>
    </w:p>
    <w:p w:rsidR="00DA689D" w:rsidRDefault="00DA689D" w:rsidP="00DA68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102.212  Dismissal</w:t>
      </w:r>
      <w:r>
        <w:t xml:space="preserve"> </w:t>
      </w:r>
    </w:p>
    <w:p w:rsidR="00DA689D" w:rsidRDefault="00DA689D" w:rsidP="00DA689D">
      <w:pPr>
        <w:widowControl w:val="0"/>
        <w:autoSpaceDE w:val="0"/>
        <w:autoSpaceDN w:val="0"/>
        <w:adjustRightInd w:val="0"/>
      </w:pPr>
    </w:p>
    <w:p w:rsidR="00DA689D" w:rsidRDefault="00DA689D" w:rsidP="00DA68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Failure of the proponent to satisfy the content requirements for proposals under this Subpart or failure to respond to Board requests for additional information will render a proposal subject to dismissal for inadequacy. </w:t>
      </w:r>
    </w:p>
    <w:p w:rsidR="00A2719C" w:rsidRDefault="00A2719C" w:rsidP="00526DDE"/>
    <w:p w:rsidR="00DA689D" w:rsidRDefault="00DA689D" w:rsidP="00DA68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of the proponent to pursue disposition of the proposal in a timely manner will render a proposal subject to dismissal.  In making this determination, the Board will consider factors including the history of the proceeding and the proponent's compliance with any Board or hearing officer orders. </w:t>
      </w:r>
    </w:p>
    <w:p w:rsidR="00A2719C" w:rsidRDefault="00A2719C" w:rsidP="00526DDE"/>
    <w:p w:rsidR="00DA689D" w:rsidRDefault="00DA689D" w:rsidP="00DA68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proposal will be dismissed for inadequacy in cases in which the Board, after evaluating the proposal, cannot determine the statutory authority on which the proposal is made. Dismissal of a proposal will not bar a proponent from re-submitting a proposal in the absence of any deadline imposed by applicable law or Board regulations. </w:t>
      </w:r>
    </w:p>
    <w:p w:rsidR="00A2719C" w:rsidRDefault="00A2719C" w:rsidP="00526DDE"/>
    <w:p w:rsidR="00DA689D" w:rsidRDefault="00DA689D" w:rsidP="00DA68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person may file a motion challenging the statutory authority or sufficiency of the proposal </w:t>
      </w:r>
      <w:r w:rsidR="00C867CB" w:rsidRPr="00C867CB">
        <w:t xml:space="preserve">under </w:t>
      </w:r>
      <w:r>
        <w:t xml:space="preserve">35 Ill. Adm. Code 101.Subpart E. </w:t>
      </w:r>
    </w:p>
    <w:p w:rsidR="00C867CB" w:rsidRDefault="00C867CB" w:rsidP="00DA689D">
      <w:pPr>
        <w:widowControl w:val="0"/>
        <w:autoSpaceDE w:val="0"/>
        <w:autoSpaceDN w:val="0"/>
        <w:adjustRightInd w:val="0"/>
        <w:ind w:left="1440" w:hanging="720"/>
      </w:pPr>
    </w:p>
    <w:p w:rsidR="00C867CB" w:rsidRDefault="00C867CB" w:rsidP="00DA68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914B31">
        <w:t>10002</w:t>
      </w:r>
      <w:r>
        <w:t xml:space="preserve">, effective </w:t>
      </w:r>
      <w:bookmarkStart w:id="0" w:name="_GoBack"/>
      <w:r w:rsidR="00914B31">
        <w:t>July 5, 2017</w:t>
      </w:r>
      <w:bookmarkEnd w:id="0"/>
      <w:r>
        <w:t>)</w:t>
      </w:r>
    </w:p>
    <w:sectPr w:rsidR="00C867CB" w:rsidSect="00DA6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89D"/>
    <w:rsid w:val="00483A58"/>
    <w:rsid w:val="00526DDE"/>
    <w:rsid w:val="005C3366"/>
    <w:rsid w:val="005F3280"/>
    <w:rsid w:val="007768FA"/>
    <w:rsid w:val="00914B31"/>
    <w:rsid w:val="00A2719C"/>
    <w:rsid w:val="00B471FA"/>
    <w:rsid w:val="00C867CB"/>
    <w:rsid w:val="00DA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2735E2-1AFA-4AE8-B4DD-31C1F489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Lane, Arlene L.</cp:lastModifiedBy>
  <cp:revision>3</cp:revision>
  <dcterms:created xsi:type="dcterms:W3CDTF">2017-07-11T16:00:00Z</dcterms:created>
  <dcterms:modified xsi:type="dcterms:W3CDTF">2017-07-19T15:12:00Z</dcterms:modified>
</cp:coreProperties>
</file>