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6A3" w:rsidRDefault="003346A3" w:rsidP="003346A3">
      <w:pPr>
        <w:widowControl w:val="0"/>
        <w:autoSpaceDE w:val="0"/>
        <w:autoSpaceDN w:val="0"/>
        <w:adjustRightInd w:val="0"/>
      </w:pPr>
      <w:bookmarkStart w:id="0" w:name="_GoBack"/>
      <w:bookmarkEnd w:id="0"/>
    </w:p>
    <w:p w:rsidR="003346A3" w:rsidRDefault="003346A3" w:rsidP="003346A3">
      <w:pPr>
        <w:widowControl w:val="0"/>
        <w:autoSpaceDE w:val="0"/>
        <w:autoSpaceDN w:val="0"/>
        <w:adjustRightInd w:val="0"/>
      </w:pPr>
      <w:r>
        <w:rPr>
          <w:b/>
          <w:bCs/>
        </w:rPr>
        <w:t>Section 101.506  Motions Attacking the Sufficiency of the Petition, Complaint, or Other Pleading</w:t>
      </w:r>
      <w:r>
        <w:t xml:space="preserve"> </w:t>
      </w:r>
    </w:p>
    <w:p w:rsidR="003346A3" w:rsidRDefault="003346A3" w:rsidP="003346A3">
      <w:pPr>
        <w:widowControl w:val="0"/>
        <w:autoSpaceDE w:val="0"/>
        <w:autoSpaceDN w:val="0"/>
        <w:adjustRightInd w:val="0"/>
      </w:pPr>
    </w:p>
    <w:p w:rsidR="003346A3" w:rsidRDefault="003346A3" w:rsidP="003346A3">
      <w:pPr>
        <w:widowControl w:val="0"/>
        <w:autoSpaceDE w:val="0"/>
        <w:autoSpaceDN w:val="0"/>
        <w:adjustRightInd w:val="0"/>
      </w:pPr>
      <w:r>
        <w:t xml:space="preserve">All motions to strike, dismiss, or challenge the sufficiency of any pleading filed with the Board must be filed within 30 days after the service of the challenged document, unless the Board determines that material prejudice would result. </w:t>
      </w:r>
    </w:p>
    <w:sectPr w:rsidR="003346A3" w:rsidSect="003346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46A3"/>
    <w:rsid w:val="003346A3"/>
    <w:rsid w:val="005C3366"/>
    <w:rsid w:val="007C73F7"/>
    <w:rsid w:val="00805307"/>
    <w:rsid w:val="00AB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