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8871" w14:textId="77777777" w:rsidR="00B3353A" w:rsidRDefault="00B3353A" w:rsidP="00B3353A">
      <w:pPr>
        <w:widowControl w:val="0"/>
        <w:autoSpaceDE w:val="0"/>
        <w:autoSpaceDN w:val="0"/>
        <w:adjustRightInd w:val="0"/>
      </w:pPr>
    </w:p>
    <w:p w14:paraId="6FC2469E" w14:textId="77777777" w:rsidR="00B3353A" w:rsidRDefault="00B3353A" w:rsidP="00B335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605.30  Financial Integrity</w:t>
      </w:r>
      <w:r>
        <w:t xml:space="preserve"> </w:t>
      </w:r>
    </w:p>
    <w:p w14:paraId="0B1C0700" w14:textId="77777777" w:rsidR="00B3353A" w:rsidRDefault="00B3353A" w:rsidP="00B3353A">
      <w:pPr>
        <w:widowControl w:val="0"/>
        <w:autoSpaceDE w:val="0"/>
        <w:autoSpaceDN w:val="0"/>
        <w:adjustRightInd w:val="0"/>
      </w:pPr>
    </w:p>
    <w:p w14:paraId="4D45382E" w14:textId="77777777" w:rsidR="00B3353A" w:rsidRDefault="00B3353A" w:rsidP="00B335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proposer who is selected to be contractor shall establish that it has the financial resources necessary to design, develop, construct, operate</w:t>
      </w:r>
      <w:r w:rsidR="00005726">
        <w:t xml:space="preserve"> </w:t>
      </w:r>
      <w:r>
        <w:t xml:space="preserve">and close the low-level radioactive waste disposal facility.  In addition, the proposer must have resources sufficient to meet the contractor's obligations regarding closure and post-closure (32 Ill. Adm. Code 601).  Further, because it is likely that the low-level waste disposal facility will receive mixed waste (i.e., waste that has both radioactive and hazardous components), when evaluating the financial integrity of the proposers, the </w:t>
      </w:r>
      <w:r w:rsidR="006A0858">
        <w:t>Agency</w:t>
      </w:r>
      <w:r>
        <w:t xml:space="preserve"> shall establish whether the firm is capable of meeting the financial requirements of 35 Ill. Adm. Code 724. Specifically, the </w:t>
      </w:r>
      <w:r w:rsidR="006A0858">
        <w:t>Agency</w:t>
      </w:r>
      <w:r>
        <w:t xml:space="preserve"> shall negotiate a contract only with a proposer that is capable of meeting either of the following two financial tests: </w:t>
      </w:r>
    </w:p>
    <w:p w14:paraId="73892ADA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703DEDD8" w14:textId="77777777" w:rsidR="00B3353A" w:rsidRDefault="00B3353A" w:rsidP="00B335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Test One:  The proposer must have: </w:t>
      </w:r>
    </w:p>
    <w:p w14:paraId="12DA7307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617B9B3F" w14:textId="77777777" w:rsidR="00B3353A" w:rsidRDefault="00B3353A" w:rsidP="00B3353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Two of the following three ratios: </w:t>
      </w:r>
    </w:p>
    <w:p w14:paraId="5DFFB992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367EEF48" w14:textId="77777777" w:rsidR="00B3353A" w:rsidRDefault="00B3353A" w:rsidP="00B3353A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a ratio of total liabilities to net worth less than 2.0; </w:t>
      </w:r>
    </w:p>
    <w:p w14:paraId="3EAE5D72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4243B269" w14:textId="77777777" w:rsidR="00B3353A" w:rsidRDefault="00B3353A" w:rsidP="00B3353A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ratio of the sum of net income plus depreciation, depletion and amortization to total liabilities greater than 0.1; </w:t>
      </w:r>
    </w:p>
    <w:p w14:paraId="3A203160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0012F171" w14:textId="77777777" w:rsidR="00B3353A" w:rsidRDefault="00B3353A" w:rsidP="00B3353A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a ratio of current assets to current liabilities greater than 1.5; and </w:t>
      </w:r>
    </w:p>
    <w:p w14:paraId="71C52D0D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345E43FC" w14:textId="77777777" w:rsidR="00B3353A" w:rsidRDefault="00B3353A" w:rsidP="00B3353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Net working capital and tangible net worth each at least six times the sum of the closure and post-closure costs estimates contained in the proposal; and </w:t>
      </w:r>
    </w:p>
    <w:p w14:paraId="1F62F031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31A552E1" w14:textId="77777777" w:rsidR="00B3353A" w:rsidRDefault="00B3353A" w:rsidP="00B3353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Tangible net worth of at least $10 million; and </w:t>
      </w:r>
    </w:p>
    <w:p w14:paraId="2E695BBB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1AF0CE2E" w14:textId="77777777" w:rsidR="00B3353A" w:rsidRDefault="00B3353A" w:rsidP="00B3353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Assets in the United States amounting to at least 90 percent of its total assets or at least six times the sum of the closure and post-closure estimates contained in the proposal. </w:t>
      </w:r>
    </w:p>
    <w:p w14:paraId="23228BDC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7F5C45E5" w14:textId="77777777" w:rsidR="00B3353A" w:rsidRDefault="009E1D2C" w:rsidP="00B335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Test Two:  </w:t>
      </w:r>
      <w:r w:rsidR="00B3353A">
        <w:t xml:space="preserve">The proposer must have: </w:t>
      </w:r>
    </w:p>
    <w:p w14:paraId="11F24D44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178AF2E9" w14:textId="77777777" w:rsidR="00B3353A" w:rsidRDefault="00B3353A" w:rsidP="00B3353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current rating for its most recent bond issuance of AAA, AA, A or BBB as issued by Standard and Poor or </w:t>
      </w:r>
      <w:proofErr w:type="spellStart"/>
      <w:r>
        <w:t>Aaa</w:t>
      </w:r>
      <w:proofErr w:type="spellEnd"/>
      <w:r>
        <w:t xml:space="preserve">, Aa, A or Baa as issued by Moody; and </w:t>
      </w:r>
    </w:p>
    <w:p w14:paraId="489599E1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2E3D2049" w14:textId="77777777" w:rsidR="00B3353A" w:rsidRDefault="00B3353A" w:rsidP="00B3353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Tangible net worth at least six times the sum of the closure and post-closure cost estimates contained in the proposal; and </w:t>
      </w:r>
    </w:p>
    <w:p w14:paraId="7A0C584C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46A45C43" w14:textId="77777777" w:rsidR="00B3353A" w:rsidRDefault="00B3353A" w:rsidP="00B3353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Tangible net worth of at least $10 million; and </w:t>
      </w:r>
    </w:p>
    <w:p w14:paraId="2A744B89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4A828E67" w14:textId="77777777" w:rsidR="00B3353A" w:rsidRDefault="00B3353A" w:rsidP="00B3353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Assets located in the United States amounting to at least 90 percent of its total assets or at least six times the sum of the closure and post-closure cost estimates contained in the proposal. </w:t>
      </w:r>
    </w:p>
    <w:p w14:paraId="0D9DD1C6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7A854FEC" w14:textId="77777777" w:rsidR="00B3353A" w:rsidRDefault="00B3353A" w:rsidP="00B335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evaluating whether a proposer is capable of satisfying the financial requirements of 32 Ill. Adm. Code 601, the </w:t>
      </w:r>
      <w:r w:rsidR="006A0858">
        <w:t>Agency</w:t>
      </w:r>
      <w:r>
        <w:t xml:space="preserve"> shall consider: </w:t>
      </w:r>
    </w:p>
    <w:p w14:paraId="67581D5F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3A6BC378" w14:textId="77777777" w:rsidR="00B3353A" w:rsidRDefault="00B3353A" w:rsidP="00B335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proposer's current assets and liabilities; </w:t>
      </w:r>
    </w:p>
    <w:p w14:paraId="53369308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6FB37BD6" w14:textId="77777777" w:rsidR="00B3353A" w:rsidRDefault="00B3353A" w:rsidP="00B335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proposer's short-term and long-term debt; </w:t>
      </w:r>
    </w:p>
    <w:p w14:paraId="53A2AA17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22641D2F" w14:textId="77777777" w:rsidR="00B3353A" w:rsidRDefault="00B3353A" w:rsidP="00B335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proposer's credit rating; </w:t>
      </w:r>
    </w:p>
    <w:p w14:paraId="75C04BF8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6D2F5643" w14:textId="77777777" w:rsidR="00B3353A" w:rsidRDefault="00B3353A" w:rsidP="00B3353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most recent Form </w:t>
      </w:r>
      <w:proofErr w:type="spellStart"/>
      <w:r>
        <w:t>10K</w:t>
      </w:r>
      <w:proofErr w:type="spellEnd"/>
      <w:r>
        <w:t xml:space="preserve"> and all Form </w:t>
      </w:r>
      <w:proofErr w:type="spellStart"/>
      <w:r>
        <w:t>10Qs</w:t>
      </w:r>
      <w:proofErr w:type="spellEnd"/>
      <w:r>
        <w:t xml:space="preserve"> since the last </w:t>
      </w:r>
      <w:proofErr w:type="spellStart"/>
      <w:r>
        <w:t>10K</w:t>
      </w:r>
      <w:proofErr w:type="spellEnd"/>
      <w:r>
        <w:t xml:space="preserve"> that the proposer (or if more than one firm is proposing, all proposers) has filed with the United States Securities and Exchange Commission; </w:t>
      </w:r>
    </w:p>
    <w:p w14:paraId="4C0D3B34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32A52544" w14:textId="77777777" w:rsidR="00B3353A" w:rsidRDefault="00B3353A" w:rsidP="00B3353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proposer has not filed a Form </w:t>
      </w:r>
      <w:proofErr w:type="spellStart"/>
      <w:r>
        <w:t>10K</w:t>
      </w:r>
      <w:proofErr w:type="spellEnd"/>
      <w:r>
        <w:t xml:space="preserve"> with the United States Securities and Exchange Commission, audited financial statements for the past three fiscal years and quarterly financial reports for the past </w:t>
      </w:r>
      <w:r w:rsidR="00005726">
        <w:t>two</w:t>
      </w:r>
      <w:r>
        <w:t xml:space="preserve"> years; </w:t>
      </w:r>
    </w:p>
    <w:p w14:paraId="04936059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24E3E41D" w14:textId="77777777" w:rsidR="00B3353A" w:rsidRDefault="00B3353A" w:rsidP="00B3353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Court decisions, decrees or agreements that have been issued or that are pending</w:t>
      </w:r>
      <w:r w:rsidR="00C8223E">
        <w:t xml:space="preserve"> </w:t>
      </w:r>
      <w:r w:rsidR="00181027">
        <w:t>and</w:t>
      </w:r>
      <w:r w:rsidR="00D611EC">
        <w:t xml:space="preserve"> that</w:t>
      </w:r>
      <w:r>
        <w:t xml:space="preserve"> could adversely affect the financial well-being of the company; </w:t>
      </w:r>
    </w:p>
    <w:p w14:paraId="55B305B3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4FEE83B6" w14:textId="77777777" w:rsidR="00B3353A" w:rsidRDefault="00B3353A" w:rsidP="00B3353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Whether the proposer has ever initiated bankruptcy proceedings, either voluntary or involuntary</w:t>
      </w:r>
      <w:r w:rsidR="00005726">
        <w:t>,</w:t>
      </w:r>
      <w:r>
        <w:t xml:space="preserve"> as well as the time and performance of the proposer since the proceedings; and </w:t>
      </w:r>
    </w:p>
    <w:p w14:paraId="0C3FB53D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031889A7" w14:textId="77777777" w:rsidR="00B3353A" w:rsidRDefault="00B3353A" w:rsidP="00B3353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additional information provided by proposer. </w:t>
      </w:r>
    </w:p>
    <w:p w14:paraId="5F6590C0" w14:textId="77777777" w:rsidR="0000648F" w:rsidRDefault="0000648F" w:rsidP="0078798F">
      <w:pPr>
        <w:widowControl w:val="0"/>
        <w:autoSpaceDE w:val="0"/>
        <w:autoSpaceDN w:val="0"/>
        <w:adjustRightInd w:val="0"/>
      </w:pPr>
    </w:p>
    <w:p w14:paraId="566F01B9" w14:textId="77777777" w:rsidR="00B3353A" w:rsidRDefault="00B3353A" w:rsidP="00B335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determining whether a proposer is capable of satisfying the financial requirements of 32 Ill. Adm. Code 601, the </w:t>
      </w:r>
      <w:r w:rsidR="006A0858">
        <w:t>Agency</w:t>
      </w:r>
      <w:r>
        <w:t xml:space="preserve"> shall apply the accounting standards of the Financial Accounting </w:t>
      </w:r>
      <w:r w:rsidR="006A0858">
        <w:t>Standards</w:t>
      </w:r>
      <w:r>
        <w:t xml:space="preserve"> Board </w:t>
      </w:r>
      <w:r w:rsidR="006A0858">
        <w:t>(FASB)</w:t>
      </w:r>
      <w:r w:rsidR="00D22376">
        <w:t xml:space="preserve"> (see www.fasb.org)</w:t>
      </w:r>
      <w:r w:rsidR="006A0858">
        <w:t>.</w:t>
      </w:r>
      <w:r>
        <w:t xml:space="preserve"> </w:t>
      </w:r>
    </w:p>
    <w:p w14:paraId="7BA1FD3B" w14:textId="77777777" w:rsidR="006A0858" w:rsidRDefault="006A0858" w:rsidP="0078798F">
      <w:pPr>
        <w:widowControl w:val="0"/>
        <w:autoSpaceDE w:val="0"/>
        <w:autoSpaceDN w:val="0"/>
        <w:adjustRightInd w:val="0"/>
      </w:pPr>
    </w:p>
    <w:p w14:paraId="107CB746" w14:textId="77777777" w:rsidR="006A0858" w:rsidRPr="00D55B37" w:rsidRDefault="006A08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F2C65">
        <w:t>12414</w:t>
      </w:r>
      <w:r w:rsidRPr="00D55B37">
        <w:t xml:space="preserve">, effective </w:t>
      </w:r>
      <w:r w:rsidR="002F2C65">
        <w:t>July 19, 2013</w:t>
      </w:r>
      <w:r w:rsidRPr="00D55B37">
        <w:t>)</w:t>
      </w:r>
    </w:p>
    <w:sectPr w:rsidR="006A0858" w:rsidRPr="00D55B37" w:rsidSect="00B33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53A"/>
    <w:rsid w:val="00005726"/>
    <w:rsid w:val="0000648F"/>
    <w:rsid w:val="001219F5"/>
    <w:rsid w:val="00167AB5"/>
    <w:rsid w:val="00181027"/>
    <w:rsid w:val="002F2C65"/>
    <w:rsid w:val="005C3366"/>
    <w:rsid w:val="006658A7"/>
    <w:rsid w:val="006915CB"/>
    <w:rsid w:val="006A0858"/>
    <w:rsid w:val="0078798F"/>
    <w:rsid w:val="008A5805"/>
    <w:rsid w:val="009C4553"/>
    <w:rsid w:val="009E1D2C"/>
    <w:rsid w:val="00B3353A"/>
    <w:rsid w:val="00C8223E"/>
    <w:rsid w:val="00D22376"/>
    <w:rsid w:val="00D6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412F43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Shipley, Melissa A.</cp:lastModifiedBy>
  <cp:revision>4</cp:revision>
  <dcterms:created xsi:type="dcterms:W3CDTF">2013-07-23T16:27:00Z</dcterms:created>
  <dcterms:modified xsi:type="dcterms:W3CDTF">2025-03-08T13:16:00Z</dcterms:modified>
</cp:coreProperties>
</file>