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45" w:rsidRDefault="005A2B45" w:rsidP="005A2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B45" w:rsidRDefault="005A2B45" w:rsidP="005A2B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406.280  Action Response to Laboratory Results</w:t>
      </w:r>
      <w:r>
        <w:t xml:space="preserve"> </w:t>
      </w:r>
    </w:p>
    <w:p w:rsidR="005A2B45" w:rsidRDefault="005A2B45" w:rsidP="005A2B45">
      <w:pPr>
        <w:widowControl w:val="0"/>
        <w:autoSpaceDE w:val="0"/>
        <w:autoSpaceDN w:val="0"/>
        <w:adjustRightInd w:val="0"/>
      </w:pPr>
    </w:p>
    <w:p w:rsidR="005A2B45" w:rsidRDefault="005A2B45" w:rsidP="005A2B45">
      <w:pPr>
        <w:widowControl w:val="0"/>
        <w:autoSpaceDE w:val="0"/>
        <w:autoSpaceDN w:val="0"/>
        <w:adjustRightInd w:val="0"/>
      </w:pPr>
      <w:r>
        <w:t xml:space="preserve">When action response is a designated responsibility of the laboratory and laboratory results indicate that a maximum allowable concentration of any parameter has been exceeded, the laboratory shall notify the person requesting the analysis within 2 business days after obtaining the unsatisfactory sample result. </w:t>
      </w:r>
    </w:p>
    <w:sectPr w:rsidR="005A2B45" w:rsidSect="005A2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B45"/>
    <w:rsid w:val="00275575"/>
    <w:rsid w:val="005A2B45"/>
    <w:rsid w:val="005C3366"/>
    <w:rsid w:val="007F413A"/>
    <w:rsid w:val="008B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