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2F9" w:rsidRDefault="009E42F9" w:rsidP="009E42F9">
      <w:pPr>
        <w:widowControl w:val="0"/>
        <w:autoSpaceDE w:val="0"/>
        <w:autoSpaceDN w:val="0"/>
        <w:adjustRightInd w:val="0"/>
      </w:pPr>
      <w:bookmarkStart w:id="0" w:name="_GoBack"/>
      <w:bookmarkEnd w:id="0"/>
    </w:p>
    <w:p w:rsidR="009E42F9" w:rsidRDefault="009E42F9" w:rsidP="009E42F9">
      <w:pPr>
        <w:widowControl w:val="0"/>
        <w:autoSpaceDE w:val="0"/>
        <w:autoSpaceDN w:val="0"/>
        <w:adjustRightInd w:val="0"/>
      </w:pPr>
      <w:r>
        <w:rPr>
          <w:b/>
          <w:bCs/>
        </w:rPr>
        <w:t xml:space="preserve">Section 406.240  Analytical Methodology </w:t>
      </w:r>
      <w:r>
        <w:t xml:space="preserve"> </w:t>
      </w:r>
    </w:p>
    <w:p w:rsidR="009E42F9" w:rsidRDefault="009E42F9" w:rsidP="009E42F9">
      <w:pPr>
        <w:widowControl w:val="0"/>
        <w:autoSpaceDE w:val="0"/>
        <w:autoSpaceDN w:val="0"/>
        <w:adjustRightInd w:val="0"/>
      </w:pPr>
    </w:p>
    <w:p w:rsidR="009E42F9" w:rsidRDefault="009E42F9" w:rsidP="009E42F9">
      <w:pPr>
        <w:widowControl w:val="0"/>
        <w:autoSpaceDE w:val="0"/>
        <w:autoSpaceDN w:val="0"/>
        <w:adjustRightInd w:val="0"/>
        <w:ind w:left="1440" w:hanging="720"/>
      </w:pPr>
      <w:r>
        <w:t>a)</w:t>
      </w:r>
      <w:r>
        <w:tab/>
        <w:t xml:space="preserve">The methods listed in the table in Section 141.25(a), "Analytical Methods for </w:t>
      </w:r>
      <w:proofErr w:type="spellStart"/>
      <w:r>
        <w:t>Radiocativity</w:t>
      </w:r>
      <w:proofErr w:type="spellEnd"/>
      <w:r>
        <w:t xml:space="preserve">", 40 CFR 141, National Primary Drinking Water Regulations effective as of March 5, 1997, published at 62 FR 10173 - 10174 are to be used to determine compliance with this Part (see Agency Note in Section 406.25 of this Part). </w:t>
      </w:r>
    </w:p>
    <w:p w:rsidR="00FA1D11" w:rsidRDefault="00FA1D11" w:rsidP="009E42F9">
      <w:pPr>
        <w:widowControl w:val="0"/>
        <w:autoSpaceDE w:val="0"/>
        <w:autoSpaceDN w:val="0"/>
        <w:adjustRightInd w:val="0"/>
        <w:ind w:left="1440" w:hanging="720"/>
      </w:pPr>
    </w:p>
    <w:p w:rsidR="009E42F9" w:rsidRDefault="009E42F9" w:rsidP="009E42F9">
      <w:pPr>
        <w:widowControl w:val="0"/>
        <w:autoSpaceDE w:val="0"/>
        <w:autoSpaceDN w:val="0"/>
        <w:adjustRightInd w:val="0"/>
        <w:ind w:left="1440" w:hanging="720"/>
      </w:pPr>
      <w:r>
        <w:t>b)</w:t>
      </w:r>
      <w:r>
        <w:tab/>
        <w:t xml:space="preserve">When the identification and measurement of radionuclides other than those listed in subsection (a) of this Section is required, the methods designated for water analysis in the following references are to be followed: </w:t>
      </w:r>
    </w:p>
    <w:p w:rsidR="00FA1D11" w:rsidRDefault="00FA1D11" w:rsidP="009E42F9">
      <w:pPr>
        <w:widowControl w:val="0"/>
        <w:autoSpaceDE w:val="0"/>
        <w:autoSpaceDN w:val="0"/>
        <w:adjustRightInd w:val="0"/>
        <w:ind w:left="2160" w:hanging="720"/>
      </w:pPr>
    </w:p>
    <w:p w:rsidR="009E42F9" w:rsidRDefault="009E42F9" w:rsidP="009E42F9">
      <w:pPr>
        <w:widowControl w:val="0"/>
        <w:autoSpaceDE w:val="0"/>
        <w:autoSpaceDN w:val="0"/>
        <w:adjustRightInd w:val="0"/>
        <w:ind w:left="2160" w:hanging="720"/>
      </w:pPr>
      <w:r>
        <w:t>1)</w:t>
      </w:r>
      <w:r>
        <w:tab/>
        <w:t xml:space="preserve">H. L. Krieger and S. Gold, "Procedures for Radiochemical Analysis of Nuclear Reactor Aqueous Solutions," EPA-R4-73-014, U.S. Environmental Protection Agency, Cincinnati, Ohio (May 1973); or </w:t>
      </w:r>
    </w:p>
    <w:p w:rsidR="00FA1D11" w:rsidRDefault="00FA1D11" w:rsidP="009E42F9">
      <w:pPr>
        <w:widowControl w:val="0"/>
        <w:autoSpaceDE w:val="0"/>
        <w:autoSpaceDN w:val="0"/>
        <w:adjustRightInd w:val="0"/>
        <w:ind w:left="2160" w:hanging="720"/>
      </w:pPr>
    </w:p>
    <w:p w:rsidR="009E42F9" w:rsidRDefault="009E42F9" w:rsidP="009E42F9">
      <w:pPr>
        <w:widowControl w:val="0"/>
        <w:autoSpaceDE w:val="0"/>
        <w:autoSpaceDN w:val="0"/>
        <w:adjustRightInd w:val="0"/>
        <w:ind w:left="2160" w:hanging="720"/>
      </w:pPr>
      <w:r>
        <w:t>2)</w:t>
      </w:r>
      <w:r>
        <w:tab/>
        <w:t xml:space="preserve">John H. Harley, ed., "HASL Procedure Manual," HASL-300, Environmental Measurement Laboratory, New York, New York (1997). </w:t>
      </w:r>
    </w:p>
    <w:p w:rsidR="00FA1D11" w:rsidRDefault="00FA1D11" w:rsidP="009E42F9">
      <w:pPr>
        <w:widowControl w:val="0"/>
        <w:autoSpaceDE w:val="0"/>
        <w:autoSpaceDN w:val="0"/>
        <w:adjustRightInd w:val="0"/>
        <w:ind w:left="1440" w:hanging="720"/>
      </w:pPr>
    </w:p>
    <w:p w:rsidR="009E42F9" w:rsidRDefault="009E42F9" w:rsidP="009E42F9">
      <w:pPr>
        <w:widowControl w:val="0"/>
        <w:autoSpaceDE w:val="0"/>
        <w:autoSpaceDN w:val="0"/>
        <w:adjustRightInd w:val="0"/>
        <w:ind w:left="1440" w:hanging="720"/>
      </w:pPr>
      <w:r>
        <w:t>c)</w:t>
      </w:r>
      <w:r>
        <w:tab/>
        <w:t xml:space="preserve">For the purpose of monitoring radioactivity concentrations in drinking water, the required sensitivity of the </w:t>
      </w:r>
      <w:proofErr w:type="spellStart"/>
      <w:r>
        <w:t>radioanalysis</w:t>
      </w:r>
      <w:proofErr w:type="spellEnd"/>
      <w:r>
        <w:t xml:space="preserve"> is defined in terms of a detection limit.  The detection limit shall be that concentration which can be counted with a precision of plus or minus 100 percent at the 95 percent confidence level (1.96 sigma (s) where sigma (s) is the standard deviation of the net counting rate of the sample).  The standards for detection limits of </w:t>
      </w:r>
      <w:proofErr w:type="spellStart"/>
      <w:r>
        <w:t>radioanalyses</w:t>
      </w:r>
      <w:proofErr w:type="spellEnd"/>
      <w:r>
        <w:t xml:space="preserve"> are as follows: </w:t>
      </w:r>
    </w:p>
    <w:p w:rsidR="00FA1D11" w:rsidRDefault="00FA1D11" w:rsidP="009E42F9">
      <w:pPr>
        <w:widowControl w:val="0"/>
        <w:autoSpaceDE w:val="0"/>
        <w:autoSpaceDN w:val="0"/>
        <w:adjustRightInd w:val="0"/>
        <w:ind w:left="2160" w:hanging="720"/>
      </w:pPr>
    </w:p>
    <w:p w:rsidR="009E42F9" w:rsidRDefault="009E42F9" w:rsidP="009E42F9">
      <w:pPr>
        <w:widowControl w:val="0"/>
        <w:autoSpaceDE w:val="0"/>
        <w:autoSpaceDN w:val="0"/>
        <w:adjustRightInd w:val="0"/>
        <w:ind w:left="2160" w:hanging="720"/>
      </w:pPr>
      <w:r>
        <w:t>1)</w:t>
      </w:r>
      <w:r>
        <w:tab/>
        <w:t xml:space="preserve">To determine compliance with maximum allowable concentration levels for radium-226 and radium-228, the detection limit shall not exceed 1 </w:t>
      </w:r>
      <w:proofErr w:type="spellStart"/>
      <w:r>
        <w:t>pCi</w:t>
      </w:r>
      <w:proofErr w:type="spellEnd"/>
      <w:r>
        <w:t xml:space="preserve">/L. </w:t>
      </w:r>
    </w:p>
    <w:p w:rsidR="00FA1D11" w:rsidRDefault="00FA1D11" w:rsidP="009E42F9">
      <w:pPr>
        <w:widowControl w:val="0"/>
        <w:autoSpaceDE w:val="0"/>
        <w:autoSpaceDN w:val="0"/>
        <w:adjustRightInd w:val="0"/>
        <w:ind w:left="2160" w:hanging="720"/>
      </w:pPr>
    </w:p>
    <w:p w:rsidR="009E42F9" w:rsidRDefault="009E42F9" w:rsidP="009E42F9">
      <w:pPr>
        <w:widowControl w:val="0"/>
        <w:autoSpaceDE w:val="0"/>
        <w:autoSpaceDN w:val="0"/>
        <w:adjustRightInd w:val="0"/>
        <w:ind w:left="2160" w:hanging="720"/>
      </w:pPr>
      <w:r>
        <w:t>2)</w:t>
      </w:r>
      <w:r>
        <w:tab/>
        <w:t xml:space="preserve">To determine compliance with maximum allowable concentration levels for gross alpha activity (including radium-226, but excluding radon and uranium) the detection limit shall not exceed 3 </w:t>
      </w:r>
      <w:proofErr w:type="spellStart"/>
      <w:r>
        <w:t>pCi</w:t>
      </w:r>
      <w:proofErr w:type="spellEnd"/>
      <w:r>
        <w:t xml:space="preserve">/L. </w:t>
      </w:r>
    </w:p>
    <w:p w:rsidR="00FA1D11" w:rsidRDefault="00FA1D11" w:rsidP="009E42F9">
      <w:pPr>
        <w:widowControl w:val="0"/>
        <w:autoSpaceDE w:val="0"/>
        <w:autoSpaceDN w:val="0"/>
        <w:adjustRightInd w:val="0"/>
        <w:ind w:left="2160" w:hanging="720"/>
      </w:pPr>
    </w:p>
    <w:p w:rsidR="009E42F9" w:rsidRDefault="009E42F9" w:rsidP="009E42F9">
      <w:pPr>
        <w:widowControl w:val="0"/>
        <w:autoSpaceDE w:val="0"/>
        <w:autoSpaceDN w:val="0"/>
        <w:adjustRightInd w:val="0"/>
        <w:ind w:left="2160" w:hanging="720"/>
      </w:pPr>
      <w:r>
        <w:t>3)</w:t>
      </w:r>
      <w:r>
        <w:tab/>
        <w:t xml:space="preserve">To determine compliance with maximum allowable concentration levels for beta-particle and photon radioactivity, the detection limits shall not exceed the following concentrations: </w:t>
      </w:r>
    </w:p>
    <w:p w:rsidR="008F13F4" w:rsidRDefault="008F13F4" w:rsidP="009E42F9">
      <w:pPr>
        <w:widowControl w:val="0"/>
        <w:autoSpaceDE w:val="0"/>
        <w:autoSpaceDN w:val="0"/>
        <w:adjustRightInd w:val="0"/>
        <w:ind w:left="2160" w:hanging="720"/>
      </w:pPr>
    </w:p>
    <w:tbl>
      <w:tblPr>
        <w:tblW w:w="0" w:type="auto"/>
        <w:tblInd w:w="1893"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3627"/>
        <w:gridCol w:w="3453"/>
      </w:tblGrid>
      <w:tr w:rsidR="008F13F4" w:rsidTr="00C810D5">
        <w:tblPrEx>
          <w:tblCellMar>
            <w:top w:w="0" w:type="dxa"/>
            <w:bottom w:w="0" w:type="dxa"/>
          </w:tblCellMar>
        </w:tblPrEx>
        <w:trPr>
          <w:trHeight w:val="440"/>
        </w:trPr>
        <w:tc>
          <w:tcPr>
            <w:tcW w:w="3627" w:type="dxa"/>
            <w:tcBorders>
              <w:top w:val="single" w:sz="4" w:space="0" w:color="auto"/>
              <w:left w:val="nil"/>
              <w:bottom w:val="nil"/>
              <w:right w:val="nil"/>
            </w:tcBorders>
            <w:vAlign w:val="bottom"/>
          </w:tcPr>
          <w:p w:rsidR="008F13F4" w:rsidRDefault="008F13F4" w:rsidP="00813A95">
            <w:pPr>
              <w:widowControl w:val="0"/>
              <w:autoSpaceDE w:val="0"/>
              <w:autoSpaceDN w:val="0"/>
              <w:adjustRightInd w:val="0"/>
              <w:ind w:left="465"/>
            </w:pPr>
            <w:r>
              <w:t>Radionuclide</w:t>
            </w:r>
          </w:p>
        </w:tc>
        <w:tc>
          <w:tcPr>
            <w:tcW w:w="3453" w:type="dxa"/>
            <w:tcBorders>
              <w:top w:val="single" w:sz="4" w:space="0" w:color="auto"/>
              <w:left w:val="nil"/>
              <w:bottom w:val="nil"/>
              <w:right w:val="nil"/>
            </w:tcBorders>
            <w:vAlign w:val="bottom"/>
          </w:tcPr>
          <w:p w:rsidR="008F13F4" w:rsidRDefault="008F13F4" w:rsidP="00C810D5">
            <w:pPr>
              <w:widowControl w:val="0"/>
              <w:autoSpaceDE w:val="0"/>
              <w:autoSpaceDN w:val="0"/>
              <w:adjustRightInd w:val="0"/>
              <w:ind w:left="-408" w:right="-480"/>
              <w:jc w:val="center"/>
            </w:pPr>
            <w:r>
              <w:t>Detection Limit</w:t>
            </w:r>
          </w:p>
        </w:tc>
      </w:tr>
      <w:tr w:rsidR="008F13F4" w:rsidTr="00C810D5">
        <w:tblPrEx>
          <w:tblCellMar>
            <w:top w:w="0" w:type="dxa"/>
            <w:bottom w:w="0" w:type="dxa"/>
          </w:tblCellMar>
        </w:tblPrEx>
        <w:tc>
          <w:tcPr>
            <w:tcW w:w="3627" w:type="dxa"/>
            <w:tcBorders>
              <w:top w:val="nil"/>
              <w:left w:val="nil"/>
              <w:bottom w:val="nil"/>
              <w:right w:val="nil"/>
            </w:tcBorders>
          </w:tcPr>
          <w:p w:rsidR="008F13F4" w:rsidRDefault="008F13F4" w:rsidP="00813A95">
            <w:pPr>
              <w:widowControl w:val="0"/>
              <w:autoSpaceDE w:val="0"/>
              <w:autoSpaceDN w:val="0"/>
              <w:adjustRightInd w:val="0"/>
              <w:ind w:left="465"/>
            </w:pPr>
          </w:p>
        </w:tc>
        <w:tc>
          <w:tcPr>
            <w:tcW w:w="3453" w:type="dxa"/>
            <w:tcBorders>
              <w:top w:val="nil"/>
              <w:left w:val="nil"/>
              <w:bottom w:val="nil"/>
              <w:right w:val="nil"/>
            </w:tcBorders>
          </w:tcPr>
          <w:p w:rsidR="008F13F4" w:rsidRDefault="008F13F4" w:rsidP="00C810D5">
            <w:pPr>
              <w:widowControl w:val="0"/>
              <w:autoSpaceDE w:val="0"/>
              <w:autoSpaceDN w:val="0"/>
              <w:adjustRightInd w:val="0"/>
              <w:ind w:left="-408" w:right="-480"/>
              <w:jc w:val="center"/>
            </w:pPr>
          </w:p>
        </w:tc>
      </w:tr>
      <w:tr w:rsidR="008F13F4" w:rsidTr="00C810D5">
        <w:tblPrEx>
          <w:tblCellMar>
            <w:top w:w="0" w:type="dxa"/>
            <w:bottom w:w="0" w:type="dxa"/>
          </w:tblCellMar>
        </w:tblPrEx>
        <w:tc>
          <w:tcPr>
            <w:tcW w:w="3627" w:type="dxa"/>
            <w:tcBorders>
              <w:top w:val="nil"/>
              <w:left w:val="nil"/>
              <w:bottom w:val="nil"/>
              <w:right w:val="nil"/>
            </w:tcBorders>
          </w:tcPr>
          <w:p w:rsidR="008F13F4" w:rsidRDefault="008F13F4" w:rsidP="00813A95">
            <w:pPr>
              <w:widowControl w:val="0"/>
              <w:autoSpaceDE w:val="0"/>
              <w:autoSpaceDN w:val="0"/>
              <w:adjustRightInd w:val="0"/>
              <w:ind w:left="465"/>
            </w:pPr>
            <w:r>
              <w:t>Tritium</w:t>
            </w:r>
          </w:p>
        </w:tc>
        <w:tc>
          <w:tcPr>
            <w:tcW w:w="3453" w:type="dxa"/>
            <w:tcBorders>
              <w:top w:val="nil"/>
              <w:left w:val="nil"/>
              <w:bottom w:val="nil"/>
              <w:right w:val="nil"/>
            </w:tcBorders>
          </w:tcPr>
          <w:p w:rsidR="008F13F4" w:rsidRDefault="008F13F4" w:rsidP="00C810D5">
            <w:pPr>
              <w:widowControl w:val="0"/>
              <w:autoSpaceDE w:val="0"/>
              <w:autoSpaceDN w:val="0"/>
              <w:adjustRightInd w:val="0"/>
              <w:ind w:left="-408" w:right="-480"/>
              <w:jc w:val="center"/>
            </w:pPr>
            <w:r>
              <w:t xml:space="preserve">1000 </w:t>
            </w:r>
            <w:proofErr w:type="spellStart"/>
            <w:r>
              <w:t>pCi</w:t>
            </w:r>
            <w:proofErr w:type="spellEnd"/>
            <w:r>
              <w:t>/L</w:t>
            </w:r>
          </w:p>
        </w:tc>
      </w:tr>
      <w:tr w:rsidR="008F13F4" w:rsidTr="00C810D5">
        <w:tblPrEx>
          <w:tblCellMar>
            <w:top w:w="0" w:type="dxa"/>
            <w:bottom w:w="0" w:type="dxa"/>
          </w:tblCellMar>
        </w:tblPrEx>
        <w:tc>
          <w:tcPr>
            <w:tcW w:w="3627" w:type="dxa"/>
            <w:tcBorders>
              <w:top w:val="nil"/>
              <w:left w:val="nil"/>
              <w:bottom w:val="nil"/>
              <w:right w:val="nil"/>
            </w:tcBorders>
          </w:tcPr>
          <w:p w:rsidR="008F13F4" w:rsidRDefault="008F13F4" w:rsidP="00813A95">
            <w:pPr>
              <w:widowControl w:val="0"/>
              <w:autoSpaceDE w:val="0"/>
              <w:autoSpaceDN w:val="0"/>
              <w:adjustRightInd w:val="0"/>
              <w:ind w:left="465"/>
            </w:pPr>
            <w:r>
              <w:t>Strontium-89</w:t>
            </w:r>
          </w:p>
        </w:tc>
        <w:tc>
          <w:tcPr>
            <w:tcW w:w="3453" w:type="dxa"/>
            <w:tcBorders>
              <w:top w:val="nil"/>
              <w:left w:val="nil"/>
              <w:bottom w:val="nil"/>
              <w:right w:val="nil"/>
            </w:tcBorders>
          </w:tcPr>
          <w:p w:rsidR="008F13F4" w:rsidRDefault="008F13F4" w:rsidP="00C810D5">
            <w:pPr>
              <w:widowControl w:val="0"/>
              <w:autoSpaceDE w:val="0"/>
              <w:autoSpaceDN w:val="0"/>
              <w:adjustRightInd w:val="0"/>
              <w:ind w:left="-408" w:right="-480"/>
              <w:jc w:val="center"/>
            </w:pPr>
            <w:r>
              <w:t xml:space="preserve">10 </w:t>
            </w:r>
            <w:proofErr w:type="spellStart"/>
            <w:r>
              <w:t>pCi</w:t>
            </w:r>
            <w:proofErr w:type="spellEnd"/>
            <w:r>
              <w:t>/L</w:t>
            </w:r>
          </w:p>
        </w:tc>
      </w:tr>
      <w:tr w:rsidR="008F13F4" w:rsidTr="00C810D5">
        <w:tblPrEx>
          <w:tblCellMar>
            <w:top w:w="0" w:type="dxa"/>
            <w:bottom w:w="0" w:type="dxa"/>
          </w:tblCellMar>
        </w:tblPrEx>
        <w:tc>
          <w:tcPr>
            <w:tcW w:w="3627" w:type="dxa"/>
            <w:tcBorders>
              <w:top w:val="nil"/>
              <w:left w:val="nil"/>
              <w:bottom w:val="nil"/>
              <w:right w:val="nil"/>
            </w:tcBorders>
          </w:tcPr>
          <w:p w:rsidR="008F13F4" w:rsidRDefault="008F13F4" w:rsidP="00813A95">
            <w:pPr>
              <w:widowControl w:val="0"/>
              <w:autoSpaceDE w:val="0"/>
              <w:autoSpaceDN w:val="0"/>
              <w:adjustRightInd w:val="0"/>
              <w:ind w:left="465"/>
            </w:pPr>
            <w:r>
              <w:t>Strontium-90</w:t>
            </w:r>
          </w:p>
        </w:tc>
        <w:tc>
          <w:tcPr>
            <w:tcW w:w="3453" w:type="dxa"/>
            <w:tcBorders>
              <w:top w:val="nil"/>
              <w:left w:val="nil"/>
              <w:bottom w:val="nil"/>
              <w:right w:val="nil"/>
            </w:tcBorders>
          </w:tcPr>
          <w:p w:rsidR="008F13F4" w:rsidRDefault="008F13F4" w:rsidP="00C810D5">
            <w:pPr>
              <w:widowControl w:val="0"/>
              <w:autoSpaceDE w:val="0"/>
              <w:autoSpaceDN w:val="0"/>
              <w:adjustRightInd w:val="0"/>
              <w:ind w:left="-408" w:right="-480"/>
              <w:jc w:val="center"/>
            </w:pPr>
            <w:r>
              <w:t xml:space="preserve">2 </w:t>
            </w:r>
            <w:proofErr w:type="spellStart"/>
            <w:r>
              <w:t>pCi</w:t>
            </w:r>
            <w:proofErr w:type="spellEnd"/>
            <w:r>
              <w:t>/L</w:t>
            </w:r>
          </w:p>
        </w:tc>
      </w:tr>
      <w:tr w:rsidR="008F13F4" w:rsidTr="00C810D5">
        <w:tblPrEx>
          <w:tblCellMar>
            <w:top w:w="0" w:type="dxa"/>
            <w:bottom w:w="0" w:type="dxa"/>
          </w:tblCellMar>
        </w:tblPrEx>
        <w:tc>
          <w:tcPr>
            <w:tcW w:w="3627" w:type="dxa"/>
            <w:tcBorders>
              <w:top w:val="nil"/>
              <w:left w:val="nil"/>
              <w:bottom w:val="nil"/>
              <w:right w:val="nil"/>
            </w:tcBorders>
          </w:tcPr>
          <w:p w:rsidR="008F13F4" w:rsidRDefault="008F13F4" w:rsidP="00813A95">
            <w:pPr>
              <w:widowControl w:val="0"/>
              <w:autoSpaceDE w:val="0"/>
              <w:autoSpaceDN w:val="0"/>
              <w:adjustRightInd w:val="0"/>
              <w:ind w:left="465"/>
            </w:pPr>
            <w:r>
              <w:t>Iodine-131</w:t>
            </w:r>
          </w:p>
        </w:tc>
        <w:tc>
          <w:tcPr>
            <w:tcW w:w="3453" w:type="dxa"/>
            <w:tcBorders>
              <w:top w:val="nil"/>
              <w:left w:val="nil"/>
              <w:bottom w:val="nil"/>
              <w:right w:val="nil"/>
            </w:tcBorders>
          </w:tcPr>
          <w:p w:rsidR="008F13F4" w:rsidRDefault="008F13F4" w:rsidP="00C810D5">
            <w:pPr>
              <w:widowControl w:val="0"/>
              <w:autoSpaceDE w:val="0"/>
              <w:autoSpaceDN w:val="0"/>
              <w:adjustRightInd w:val="0"/>
              <w:ind w:left="-408" w:right="-480"/>
              <w:jc w:val="center"/>
            </w:pPr>
            <w:r>
              <w:t xml:space="preserve">1 </w:t>
            </w:r>
            <w:proofErr w:type="spellStart"/>
            <w:r>
              <w:t>pCi</w:t>
            </w:r>
            <w:proofErr w:type="spellEnd"/>
            <w:r>
              <w:t>/L</w:t>
            </w:r>
          </w:p>
        </w:tc>
      </w:tr>
      <w:tr w:rsidR="008F13F4" w:rsidTr="00C810D5">
        <w:tblPrEx>
          <w:tblCellMar>
            <w:top w:w="0" w:type="dxa"/>
            <w:bottom w:w="0" w:type="dxa"/>
          </w:tblCellMar>
        </w:tblPrEx>
        <w:tc>
          <w:tcPr>
            <w:tcW w:w="3627" w:type="dxa"/>
            <w:tcBorders>
              <w:top w:val="nil"/>
              <w:left w:val="nil"/>
              <w:bottom w:val="nil"/>
              <w:right w:val="nil"/>
            </w:tcBorders>
          </w:tcPr>
          <w:p w:rsidR="008F13F4" w:rsidRDefault="008F13F4" w:rsidP="00813A95">
            <w:pPr>
              <w:widowControl w:val="0"/>
              <w:autoSpaceDE w:val="0"/>
              <w:autoSpaceDN w:val="0"/>
              <w:adjustRightInd w:val="0"/>
              <w:ind w:left="465"/>
            </w:pPr>
            <w:r>
              <w:t>Cesium-134</w:t>
            </w:r>
          </w:p>
        </w:tc>
        <w:tc>
          <w:tcPr>
            <w:tcW w:w="3453" w:type="dxa"/>
            <w:tcBorders>
              <w:top w:val="nil"/>
              <w:left w:val="nil"/>
              <w:bottom w:val="nil"/>
              <w:right w:val="nil"/>
            </w:tcBorders>
          </w:tcPr>
          <w:p w:rsidR="008F13F4" w:rsidRDefault="008F13F4" w:rsidP="00C810D5">
            <w:pPr>
              <w:widowControl w:val="0"/>
              <w:autoSpaceDE w:val="0"/>
              <w:autoSpaceDN w:val="0"/>
              <w:adjustRightInd w:val="0"/>
              <w:ind w:left="-408" w:right="-480"/>
              <w:jc w:val="center"/>
            </w:pPr>
            <w:r>
              <w:t xml:space="preserve">10 </w:t>
            </w:r>
            <w:proofErr w:type="spellStart"/>
            <w:r>
              <w:t>pCi</w:t>
            </w:r>
            <w:proofErr w:type="spellEnd"/>
            <w:r>
              <w:t>/L</w:t>
            </w:r>
          </w:p>
        </w:tc>
      </w:tr>
      <w:tr w:rsidR="008F13F4" w:rsidTr="00C810D5">
        <w:tblPrEx>
          <w:tblCellMar>
            <w:top w:w="0" w:type="dxa"/>
            <w:bottom w:w="0" w:type="dxa"/>
          </w:tblCellMar>
        </w:tblPrEx>
        <w:tc>
          <w:tcPr>
            <w:tcW w:w="3627" w:type="dxa"/>
            <w:tcBorders>
              <w:top w:val="nil"/>
              <w:left w:val="nil"/>
              <w:bottom w:val="nil"/>
              <w:right w:val="nil"/>
            </w:tcBorders>
          </w:tcPr>
          <w:p w:rsidR="008F13F4" w:rsidRDefault="008F13F4" w:rsidP="00813A95">
            <w:pPr>
              <w:widowControl w:val="0"/>
              <w:autoSpaceDE w:val="0"/>
              <w:autoSpaceDN w:val="0"/>
              <w:adjustRightInd w:val="0"/>
              <w:ind w:left="465"/>
            </w:pPr>
            <w:r>
              <w:t>Gross beta</w:t>
            </w:r>
          </w:p>
        </w:tc>
        <w:tc>
          <w:tcPr>
            <w:tcW w:w="3453" w:type="dxa"/>
            <w:tcBorders>
              <w:top w:val="nil"/>
              <w:left w:val="nil"/>
              <w:bottom w:val="nil"/>
              <w:right w:val="nil"/>
            </w:tcBorders>
          </w:tcPr>
          <w:p w:rsidR="008F13F4" w:rsidRDefault="008F13F4" w:rsidP="00C810D5">
            <w:pPr>
              <w:widowControl w:val="0"/>
              <w:autoSpaceDE w:val="0"/>
              <w:autoSpaceDN w:val="0"/>
              <w:adjustRightInd w:val="0"/>
              <w:ind w:left="-408" w:right="-480"/>
              <w:jc w:val="center"/>
            </w:pPr>
            <w:r>
              <w:t xml:space="preserve">4 </w:t>
            </w:r>
            <w:proofErr w:type="spellStart"/>
            <w:r>
              <w:t>pCi</w:t>
            </w:r>
            <w:proofErr w:type="spellEnd"/>
            <w:r>
              <w:t>/L</w:t>
            </w:r>
          </w:p>
        </w:tc>
      </w:tr>
      <w:tr w:rsidR="008F13F4" w:rsidTr="00C810D5">
        <w:tblPrEx>
          <w:tblCellMar>
            <w:top w:w="0" w:type="dxa"/>
            <w:bottom w:w="0" w:type="dxa"/>
          </w:tblCellMar>
        </w:tblPrEx>
        <w:trPr>
          <w:trHeight w:val="468"/>
        </w:trPr>
        <w:tc>
          <w:tcPr>
            <w:tcW w:w="3627" w:type="dxa"/>
            <w:tcBorders>
              <w:top w:val="nil"/>
              <w:left w:val="nil"/>
              <w:bottom w:val="single" w:sz="4" w:space="0" w:color="auto"/>
              <w:right w:val="nil"/>
            </w:tcBorders>
          </w:tcPr>
          <w:p w:rsidR="008F13F4" w:rsidRDefault="008F13F4" w:rsidP="00813A95">
            <w:pPr>
              <w:widowControl w:val="0"/>
              <w:autoSpaceDE w:val="0"/>
              <w:autoSpaceDN w:val="0"/>
              <w:adjustRightInd w:val="0"/>
              <w:ind w:left="465"/>
            </w:pPr>
            <w:r>
              <w:t xml:space="preserve">Other </w:t>
            </w:r>
            <w:proofErr w:type="spellStart"/>
            <w:r>
              <w:t>radionuclides</w:t>
            </w:r>
            <w:r w:rsidRPr="008F6CF1">
              <w:rPr>
                <w:vertAlign w:val="superscript"/>
              </w:rPr>
              <w:t>a</w:t>
            </w:r>
            <w:proofErr w:type="spellEnd"/>
          </w:p>
        </w:tc>
        <w:tc>
          <w:tcPr>
            <w:tcW w:w="3453" w:type="dxa"/>
            <w:tcBorders>
              <w:top w:val="nil"/>
              <w:left w:val="nil"/>
              <w:bottom w:val="single" w:sz="4" w:space="0" w:color="auto"/>
              <w:right w:val="nil"/>
            </w:tcBorders>
          </w:tcPr>
          <w:p w:rsidR="008F13F4" w:rsidRDefault="008F13F4" w:rsidP="00C810D5">
            <w:pPr>
              <w:widowControl w:val="0"/>
              <w:autoSpaceDE w:val="0"/>
              <w:autoSpaceDN w:val="0"/>
              <w:adjustRightInd w:val="0"/>
              <w:ind w:left="-408" w:right="-480"/>
              <w:jc w:val="center"/>
            </w:pPr>
            <w:r w:rsidRPr="008F6CF1">
              <w:rPr>
                <w:vertAlign w:val="superscript"/>
              </w:rPr>
              <w:t>1</w:t>
            </w:r>
            <w:r>
              <w:t>/</w:t>
            </w:r>
            <w:r w:rsidRPr="008F6CF1">
              <w:rPr>
                <w:vertAlign w:val="subscript"/>
              </w:rPr>
              <w:t>10</w:t>
            </w:r>
            <w:r>
              <w:t xml:space="preserve"> of the applicable limit</w:t>
            </w:r>
          </w:p>
        </w:tc>
      </w:tr>
    </w:tbl>
    <w:p w:rsidR="009E42F9" w:rsidRDefault="009E42F9" w:rsidP="009E42F9">
      <w:pPr>
        <w:widowControl w:val="0"/>
        <w:autoSpaceDE w:val="0"/>
        <w:autoSpaceDN w:val="0"/>
        <w:adjustRightInd w:val="0"/>
        <w:ind w:left="2160" w:hanging="720"/>
      </w:pPr>
    </w:p>
    <w:p w:rsidR="009E42F9" w:rsidRDefault="009E42F9" w:rsidP="00C810D5">
      <w:pPr>
        <w:widowControl w:val="0"/>
        <w:autoSpaceDE w:val="0"/>
        <w:autoSpaceDN w:val="0"/>
        <w:adjustRightInd w:val="0"/>
        <w:ind w:left="2160"/>
      </w:pPr>
      <w:r>
        <w:t xml:space="preserve">AGENCY NOTE: </w:t>
      </w:r>
    </w:p>
    <w:p w:rsidR="00FA1D11" w:rsidRDefault="00FA1D11" w:rsidP="008F13F4">
      <w:pPr>
        <w:widowControl w:val="0"/>
        <w:autoSpaceDE w:val="0"/>
        <w:autoSpaceDN w:val="0"/>
        <w:adjustRightInd w:val="0"/>
        <w:ind w:left="2622" w:hanging="462"/>
        <w:rPr>
          <w:vertAlign w:val="superscript"/>
        </w:rPr>
      </w:pPr>
    </w:p>
    <w:p w:rsidR="009E42F9" w:rsidRDefault="009E42F9" w:rsidP="00C810D5">
      <w:pPr>
        <w:widowControl w:val="0"/>
        <w:autoSpaceDE w:val="0"/>
        <w:autoSpaceDN w:val="0"/>
        <w:adjustRightInd w:val="0"/>
        <w:ind w:left="2451" w:hanging="291"/>
      </w:pPr>
      <w:r w:rsidRPr="008F13F4">
        <w:rPr>
          <w:vertAlign w:val="superscript"/>
        </w:rPr>
        <w:t>a</w:t>
      </w:r>
      <w:r>
        <w:tab/>
        <w:t xml:space="preserve">As calculated from "Maximum Permissible Body Burdens and Maximum Permissible Concentration of Radionuclides in Air or Water for Occupational Exposure," National Bureau of Standards Handbook 69, August 1963, U.S. Department of Commerce. </w:t>
      </w:r>
    </w:p>
    <w:p w:rsidR="008F13F4" w:rsidRDefault="008F13F4" w:rsidP="008F13F4">
      <w:pPr>
        <w:widowControl w:val="0"/>
        <w:autoSpaceDE w:val="0"/>
        <w:autoSpaceDN w:val="0"/>
        <w:adjustRightInd w:val="0"/>
        <w:ind w:left="2622" w:hanging="462"/>
      </w:pPr>
    </w:p>
    <w:p w:rsidR="009E42F9" w:rsidRDefault="009E42F9" w:rsidP="009E42F9">
      <w:pPr>
        <w:widowControl w:val="0"/>
        <w:autoSpaceDE w:val="0"/>
        <w:autoSpaceDN w:val="0"/>
        <w:adjustRightInd w:val="0"/>
        <w:ind w:left="1440" w:hanging="720"/>
      </w:pPr>
      <w:r>
        <w:t>d)</w:t>
      </w:r>
      <w:r>
        <w:tab/>
        <w:t xml:space="preserve">To determine compliance with the applicable maximum contaminant levels, averages of data shall be used and shall be rounded to the same number of significant digits as stated in the maximum contaminant level established for the substance in question. </w:t>
      </w:r>
    </w:p>
    <w:p w:rsidR="00FA1D11" w:rsidRDefault="00FA1D11" w:rsidP="009E42F9">
      <w:pPr>
        <w:widowControl w:val="0"/>
        <w:autoSpaceDE w:val="0"/>
        <w:autoSpaceDN w:val="0"/>
        <w:adjustRightInd w:val="0"/>
        <w:ind w:left="1440" w:hanging="720"/>
      </w:pPr>
    </w:p>
    <w:p w:rsidR="009E42F9" w:rsidRDefault="009E42F9" w:rsidP="009E42F9">
      <w:pPr>
        <w:widowControl w:val="0"/>
        <w:autoSpaceDE w:val="0"/>
        <w:autoSpaceDN w:val="0"/>
        <w:adjustRightInd w:val="0"/>
        <w:ind w:left="1440" w:hanging="720"/>
      </w:pPr>
      <w:r>
        <w:t>e)</w:t>
      </w:r>
      <w:r>
        <w:tab/>
        <w:t xml:space="preserve">The Department may, upon written application, approve the use of an alternative analytical technique.  An alternative analytical technique shall not be approved unless the Department determines that the technique is substantially equivalent to the prescribed test both in precision and accuracy as it relates to the determination of compliance with the applicable maximum contaminant level.  Such approval shall be in writing and shall not be effective without the concurrence of the Administrator of the U.S. Environmental Protection Agency. </w:t>
      </w:r>
    </w:p>
    <w:sectPr w:rsidR="009E42F9" w:rsidSect="009E42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42F9"/>
    <w:rsid w:val="004C453B"/>
    <w:rsid w:val="005C3366"/>
    <w:rsid w:val="00813A95"/>
    <w:rsid w:val="008F13F4"/>
    <w:rsid w:val="008F6CF1"/>
    <w:rsid w:val="009E42F9"/>
    <w:rsid w:val="00A2498E"/>
    <w:rsid w:val="00B3577E"/>
    <w:rsid w:val="00C810D5"/>
    <w:rsid w:val="00FA1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