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C0" w:rsidRDefault="002B05C0" w:rsidP="002B05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05C0" w:rsidRDefault="002B05C0" w:rsidP="002B05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351.20  Scope</w:t>
      </w:r>
      <w:r>
        <w:t xml:space="preserve"> </w:t>
      </w:r>
    </w:p>
    <w:p w:rsidR="002B05C0" w:rsidRDefault="002B05C0" w:rsidP="002B05C0">
      <w:pPr>
        <w:widowControl w:val="0"/>
        <w:autoSpaceDE w:val="0"/>
        <w:autoSpaceDN w:val="0"/>
        <w:adjustRightInd w:val="0"/>
      </w:pPr>
    </w:p>
    <w:p w:rsidR="002B05C0" w:rsidRDefault="002B05C0" w:rsidP="002B05C0">
      <w:pPr>
        <w:widowControl w:val="0"/>
        <w:autoSpaceDE w:val="0"/>
        <w:autoSpaceDN w:val="0"/>
        <w:adjustRightInd w:val="0"/>
      </w:pPr>
      <w:r>
        <w:t xml:space="preserve">The regulations in this Part apply to all licensees or registrants who use sources of radiation for </w:t>
      </w:r>
      <w:proofErr w:type="spellStart"/>
      <w:r>
        <w:t>wireline</w:t>
      </w:r>
      <w:proofErr w:type="spellEnd"/>
      <w:r>
        <w:t xml:space="preserve"> service operations, including mineral logging, radioactive markers, or subsurface tracer studies. </w:t>
      </w:r>
    </w:p>
    <w:sectPr w:rsidR="002B05C0" w:rsidSect="002B05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5C0"/>
    <w:rsid w:val="002B05C0"/>
    <w:rsid w:val="00596121"/>
    <w:rsid w:val="005C3366"/>
    <w:rsid w:val="00720959"/>
    <w:rsid w:val="00D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