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84" w:rsidRDefault="00980084" w:rsidP="00980084">
      <w:pPr>
        <w:widowControl w:val="0"/>
        <w:autoSpaceDE w:val="0"/>
        <w:autoSpaceDN w:val="0"/>
        <w:adjustRightInd w:val="0"/>
      </w:pPr>
      <w:bookmarkStart w:id="0" w:name="_GoBack"/>
      <w:bookmarkEnd w:id="0"/>
      <w:r>
        <w:br w:type="page"/>
      </w:r>
      <w:r>
        <w:rPr>
          <w:b/>
          <w:bCs/>
        </w:rPr>
        <w:lastRenderedPageBreak/>
        <w:t>Section 330.APPENDIX C   Quantities of Radioactive Materials Requiring Consideration of the Need for an Emergency Plan for Responding to a Release</w:t>
      </w:r>
      <w:r>
        <w:t xml:space="preserve"> </w:t>
      </w:r>
    </w:p>
    <w:p w:rsidR="00980084" w:rsidRDefault="00980084" w:rsidP="00980084">
      <w:pPr>
        <w:widowControl w:val="0"/>
        <w:autoSpaceDE w:val="0"/>
        <w:autoSpaceDN w:val="0"/>
        <w:adjustRightInd w:val="0"/>
      </w:pPr>
    </w:p>
    <w:tbl>
      <w:tblPr>
        <w:tblW w:w="9462"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5244"/>
        <w:gridCol w:w="1368"/>
        <w:gridCol w:w="1539"/>
        <w:gridCol w:w="1311"/>
      </w:tblGrid>
      <w:tr w:rsidR="00980084">
        <w:tblPrEx>
          <w:tblCellMar>
            <w:top w:w="0" w:type="dxa"/>
            <w:left w:w="0" w:type="dxa"/>
            <w:bottom w:w="0" w:type="dxa"/>
            <w:right w:w="0" w:type="dxa"/>
          </w:tblCellMar>
        </w:tblPrEx>
        <w:tc>
          <w:tcPr>
            <w:tcW w:w="5244" w:type="dxa"/>
            <w:tcBorders>
              <w:top w:val="nil"/>
              <w:left w:val="nil"/>
              <w:bottom w:val="single" w:sz="4" w:space="0" w:color="auto"/>
              <w:right w:val="nil"/>
            </w:tcBorders>
          </w:tcPr>
          <w:p w:rsidR="00980084" w:rsidRDefault="00980084" w:rsidP="00980084">
            <w:pPr>
              <w:widowControl w:val="0"/>
              <w:autoSpaceDE w:val="0"/>
              <w:autoSpaceDN w:val="0"/>
              <w:adjustRightInd w:val="0"/>
              <w:jc w:val="both"/>
            </w:pPr>
            <w:r>
              <w:t>Radioactive Material</w:t>
            </w:r>
            <w:r w:rsidRPr="00722241">
              <w:rPr>
                <w:vertAlign w:val="superscript"/>
              </w:rPr>
              <w:t>1</w:t>
            </w:r>
          </w:p>
        </w:tc>
        <w:tc>
          <w:tcPr>
            <w:tcW w:w="1368" w:type="dxa"/>
            <w:tcBorders>
              <w:top w:val="nil"/>
              <w:left w:val="nil"/>
              <w:bottom w:val="single" w:sz="4" w:space="0" w:color="auto"/>
              <w:right w:val="nil"/>
            </w:tcBorders>
          </w:tcPr>
          <w:p w:rsidR="00980084" w:rsidRDefault="00980084" w:rsidP="00980084">
            <w:pPr>
              <w:widowControl w:val="0"/>
              <w:autoSpaceDE w:val="0"/>
              <w:autoSpaceDN w:val="0"/>
              <w:adjustRightInd w:val="0"/>
            </w:pPr>
            <w:r>
              <w:t xml:space="preserve">Release </w:t>
            </w:r>
          </w:p>
          <w:p w:rsidR="00980084" w:rsidRDefault="00980084" w:rsidP="00980084">
            <w:pPr>
              <w:widowControl w:val="0"/>
              <w:autoSpaceDE w:val="0"/>
              <w:autoSpaceDN w:val="0"/>
              <w:adjustRightInd w:val="0"/>
            </w:pPr>
            <w:r>
              <w:t>Fraction</w:t>
            </w:r>
          </w:p>
        </w:tc>
        <w:tc>
          <w:tcPr>
            <w:tcW w:w="1539" w:type="dxa"/>
            <w:tcBorders>
              <w:top w:val="nil"/>
              <w:left w:val="nil"/>
              <w:bottom w:val="single" w:sz="4" w:space="0" w:color="auto"/>
              <w:right w:val="nil"/>
            </w:tcBorders>
          </w:tcPr>
          <w:p w:rsidR="00980084" w:rsidRDefault="00980084" w:rsidP="00980084">
            <w:pPr>
              <w:widowControl w:val="0"/>
              <w:autoSpaceDE w:val="0"/>
              <w:autoSpaceDN w:val="0"/>
              <w:adjustRightInd w:val="0"/>
            </w:pPr>
            <w:r>
              <w:t xml:space="preserve">Quantity </w:t>
            </w:r>
          </w:p>
          <w:p w:rsidR="00980084" w:rsidRDefault="00980084" w:rsidP="00980084">
            <w:pPr>
              <w:widowControl w:val="0"/>
              <w:autoSpaceDE w:val="0"/>
              <w:autoSpaceDN w:val="0"/>
              <w:adjustRightInd w:val="0"/>
            </w:pPr>
            <w:r>
              <w:t>(</w:t>
            </w:r>
            <w:proofErr w:type="spellStart"/>
            <w:r>
              <w:t>GBq</w:t>
            </w:r>
            <w:proofErr w:type="spellEnd"/>
            <w:r>
              <w:t>)</w:t>
            </w:r>
          </w:p>
        </w:tc>
        <w:tc>
          <w:tcPr>
            <w:tcW w:w="1311" w:type="dxa"/>
            <w:tcBorders>
              <w:top w:val="nil"/>
              <w:left w:val="nil"/>
              <w:bottom w:val="single" w:sz="4" w:space="0" w:color="auto"/>
              <w:right w:val="nil"/>
            </w:tcBorders>
          </w:tcPr>
          <w:p w:rsidR="00980084" w:rsidRDefault="00980084" w:rsidP="00980084">
            <w:pPr>
              <w:widowControl w:val="0"/>
              <w:autoSpaceDE w:val="0"/>
              <w:autoSpaceDN w:val="0"/>
              <w:adjustRightInd w:val="0"/>
            </w:pPr>
            <w:r>
              <w:t xml:space="preserve">Quantity </w:t>
            </w:r>
          </w:p>
          <w:p w:rsidR="00980084" w:rsidRDefault="00980084" w:rsidP="00980084">
            <w:pPr>
              <w:widowControl w:val="0"/>
              <w:autoSpaceDE w:val="0"/>
              <w:autoSpaceDN w:val="0"/>
              <w:adjustRightInd w:val="0"/>
            </w:pPr>
            <w:r>
              <w:t>(</w:t>
            </w:r>
            <w:proofErr w:type="spellStart"/>
            <w:r>
              <w:t>Ci</w:t>
            </w:r>
            <w:proofErr w:type="spellEnd"/>
            <w:r>
              <w:t>)</w:t>
            </w:r>
          </w:p>
        </w:tc>
      </w:tr>
      <w:tr w:rsidR="00980084">
        <w:tblPrEx>
          <w:tblCellMar>
            <w:top w:w="0" w:type="dxa"/>
            <w:left w:w="0" w:type="dxa"/>
            <w:bottom w:w="0" w:type="dxa"/>
            <w:right w:w="0" w:type="dxa"/>
          </w:tblCellMar>
        </w:tblPrEx>
        <w:tc>
          <w:tcPr>
            <w:tcW w:w="5244" w:type="dxa"/>
            <w:tcBorders>
              <w:top w:val="single" w:sz="4" w:space="0" w:color="auto"/>
              <w:left w:val="nil"/>
              <w:bottom w:val="nil"/>
              <w:right w:val="nil"/>
            </w:tcBorders>
          </w:tcPr>
          <w:p w:rsidR="00980084" w:rsidRDefault="00980084" w:rsidP="00980084">
            <w:pPr>
              <w:widowControl w:val="0"/>
              <w:autoSpaceDE w:val="0"/>
              <w:autoSpaceDN w:val="0"/>
              <w:adjustRightInd w:val="0"/>
            </w:pPr>
          </w:p>
        </w:tc>
        <w:tc>
          <w:tcPr>
            <w:tcW w:w="1368" w:type="dxa"/>
            <w:tcBorders>
              <w:top w:val="single" w:sz="4" w:space="0" w:color="auto"/>
              <w:left w:val="nil"/>
              <w:bottom w:val="nil"/>
              <w:right w:val="nil"/>
            </w:tcBorders>
          </w:tcPr>
          <w:p w:rsidR="00980084" w:rsidRDefault="00980084" w:rsidP="00980084">
            <w:pPr>
              <w:widowControl w:val="0"/>
              <w:autoSpaceDE w:val="0"/>
              <w:autoSpaceDN w:val="0"/>
              <w:adjustRightInd w:val="0"/>
            </w:pPr>
          </w:p>
        </w:tc>
        <w:tc>
          <w:tcPr>
            <w:tcW w:w="1539" w:type="dxa"/>
            <w:tcBorders>
              <w:top w:val="single" w:sz="4" w:space="0" w:color="auto"/>
              <w:left w:val="nil"/>
              <w:bottom w:val="nil"/>
              <w:right w:val="nil"/>
            </w:tcBorders>
          </w:tcPr>
          <w:p w:rsidR="00980084" w:rsidRDefault="00980084" w:rsidP="00980084">
            <w:pPr>
              <w:widowControl w:val="0"/>
              <w:autoSpaceDE w:val="0"/>
              <w:autoSpaceDN w:val="0"/>
              <w:adjustRightInd w:val="0"/>
            </w:pPr>
          </w:p>
        </w:tc>
        <w:tc>
          <w:tcPr>
            <w:tcW w:w="1311" w:type="dxa"/>
            <w:tcBorders>
              <w:top w:val="single" w:sz="4" w:space="0" w:color="auto"/>
              <w:left w:val="nil"/>
              <w:bottom w:val="nil"/>
              <w:right w:val="nil"/>
            </w:tcBorders>
          </w:tcPr>
          <w:p w:rsidR="00980084" w:rsidRDefault="00980084" w:rsidP="00980084">
            <w:pPr>
              <w:widowControl w:val="0"/>
              <w:autoSpaceDE w:val="0"/>
              <w:autoSpaceDN w:val="0"/>
              <w:adjustRightInd w:val="0"/>
            </w:pP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Actinium-228</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Americium-241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Americium-242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Americium-243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Antimony-124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Antimony-126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222,000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6,000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Barium-133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Barium-140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Bismuth-207</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Bismuth-210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22,200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600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Cadmium-109</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Cadmium-113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2,960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80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Calcium-45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Californium-252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 (20mg)</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Pr="005D7BCD" w:rsidRDefault="00980084" w:rsidP="00980084">
            <w:pPr>
              <w:widowControl w:val="0"/>
              <w:autoSpaceDE w:val="0"/>
              <w:autoSpaceDN w:val="0"/>
              <w:adjustRightInd w:val="0"/>
              <w:ind w:firstLine="228"/>
              <w:rPr>
                <w:vertAlign w:val="subscript"/>
              </w:rPr>
            </w:pPr>
            <w:r>
              <w:t>Carbon-14 (Non-CO</w:t>
            </w:r>
            <w:r w:rsidRPr="005D7BCD">
              <w:rPr>
                <w:vertAlign w:val="subscript"/>
              </w:rPr>
              <w:t>2</w:t>
            </w:r>
            <w:r w:rsidRPr="00C27407">
              <w:t>)</w:t>
            </w:r>
            <w:r>
              <w:rPr>
                <w:vertAlign w:val="subscript"/>
              </w:rPr>
              <w:t xml:space="preserve"> </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Cerium-141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Cerium-144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Cesium-134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Cesium-137</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Chlorine-36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Chromium-51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Cobalt-60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Copper-64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Curium-242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2,220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60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Curium-243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Curium-244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Curium-245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Europium-152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Europium-154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Europium-155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Gadolinium-153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Germanium-68</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Gold-198</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Hafnium-172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Hafnium-181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259,000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7,000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Holmium-166m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Hydrogen-3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Indium-114m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Iodine-125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Iodine-131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lastRenderedPageBreak/>
              <w:t>Iridium-192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Iron-55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Iron-59</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259,000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7,000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Krypton-85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1.0</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222,000,000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6,000,000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Lead-210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296</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8</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Manganese-56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2,220,000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60,000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Mercury-203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Molybdenum-99</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Neptunium-237</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Nickel-63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Niobium-94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Phosphorus-32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Phosphorus-33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Polonium-210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Potassium-42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Promethium-145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Promethium-147</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BD72FA">
        <w:tblPrEx>
          <w:tblCellMar>
            <w:top w:w="0" w:type="dxa"/>
            <w:left w:w="0" w:type="dxa"/>
            <w:bottom w:w="0" w:type="dxa"/>
            <w:right w:w="0" w:type="dxa"/>
          </w:tblCellMar>
        </w:tblPrEx>
        <w:tc>
          <w:tcPr>
            <w:tcW w:w="5244" w:type="dxa"/>
            <w:tcBorders>
              <w:top w:val="nil"/>
              <w:left w:val="nil"/>
              <w:bottom w:val="nil"/>
              <w:right w:val="nil"/>
            </w:tcBorders>
          </w:tcPr>
          <w:p w:rsidR="00BD72FA" w:rsidRDefault="00BD72FA" w:rsidP="00980084">
            <w:pPr>
              <w:widowControl w:val="0"/>
              <w:autoSpaceDE w:val="0"/>
              <w:autoSpaceDN w:val="0"/>
              <w:adjustRightInd w:val="0"/>
              <w:ind w:firstLine="228"/>
            </w:pPr>
            <w:r>
              <w:t>Radium-226</w:t>
            </w:r>
          </w:p>
        </w:tc>
        <w:tc>
          <w:tcPr>
            <w:tcW w:w="1368" w:type="dxa"/>
            <w:tcBorders>
              <w:top w:val="nil"/>
              <w:left w:val="nil"/>
              <w:bottom w:val="nil"/>
              <w:right w:val="nil"/>
            </w:tcBorders>
          </w:tcPr>
          <w:p w:rsidR="00BD72FA" w:rsidRDefault="00BD72FA" w:rsidP="00980084">
            <w:pPr>
              <w:widowControl w:val="0"/>
              <w:autoSpaceDE w:val="0"/>
              <w:autoSpaceDN w:val="0"/>
              <w:adjustRightInd w:val="0"/>
            </w:pPr>
            <w:r>
              <w:t>0.001</w:t>
            </w:r>
          </w:p>
        </w:tc>
        <w:tc>
          <w:tcPr>
            <w:tcW w:w="1539" w:type="dxa"/>
            <w:tcBorders>
              <w:top w:val="nil"/>
              <w:left w:val="nil"/>
              <w:bottom w:val="nil"/>
              <w:right w:val="nil"/>
            </w:tcBorders>
          </w:tcPr>
          <w:p w:rsidR="00BD72FA" w:rsidRDefault="00BD72FA" w:rsidP="00980084">
            <w:pPr>
              <w:widowControl w:val="0"/>
              <w:autoSpaceDE w:val="0"/>
              <w:autoSpaceDN w:val="0"/>
              <w:adjustRightInd w:val="0"/>
            </w:pPr>
            <w:r>
              <w:t>3,700</w:t>
            </w:r>
          </w:p>
        </w:tc>
        <w:tc>
          <w:tcPr>
            <w:tcW w:w="1311" w:type="dxa"/>
            <w:tcBorders>
              <w:top w:val="nil"/>
              <w:left w:val="nil"/>
              <w:bottom w:val="nil"/>
              <w:right w:val="nil"/>
            </w:tcBorders>
          </w:tcPr>
          <w:p w:rsidR="00BD72FA" w:rsidRDefault="00BD72FA" w:rsidP="00980084">
            <w:pPr>
              <w:widowControl w:val="0"/>
              <w:autoSpaceDE w:val="0"/>
              <w:autoSpaceDN w:val="0"/>
              <w:adjustRightInd w:val="0"/>
            </w:pPr>
            <w:r>
              <w:t>100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Ruthenium-106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Samarium-151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Scandium-46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Selenium-75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Silver-110m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Sodium-22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Sodium-24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Strontium-89</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Strontium-90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Sulfur-35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0.5</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Technetium-99</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Technetium-99m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Tellurium-127m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Tellurium-129m</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Terbium-160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Thulium-170</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Tin-113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Tin-123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111,000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3,000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Tin-126</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Titanium-44</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Vanadium-48</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259,000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7,000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Xenon-133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1.0</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33,300,000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900,000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Yttrium-91</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Zinc-65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Zirconium-93</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14,800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400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Zirconium-95</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185,000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5,000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Any other beta-gamma emitter</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Mixed fission products</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Mixed corrosion products</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Contaminated equipment, beta-gamma</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Irradiated material, any form other than</w:t>
            </w:r>
          </w:p>
        </w:tc>
        <w:tc>
          <w:tcPr>
            <w:tcW w:w="1368" w:type="dxa"/>
            <w:tcBorders>
              <w:top w:val="nil"/>
              <w:left w:val="nil"/>
              <w:bottom w:val="nil"/>
              <w:right w:val="nil"/>
            </w:tcBorders>
          </w:tcPr>
          <w:p w:rsidR="00980084" w:rsidRDefault="00980084" w:rsidP="00980084">
            <w:pPr>
              <w:widowControl w:val="0"/>
              <w:autoSpaceDE w:val="0"/>
              <w:autoSpaceDN w:val="0"/>
              <w:adjustRightInd w:val="0"/>
            </w:pPr>
          </w:p>
        </w:tc>
        <w:tc>
          <w:tcPr>
            <w:tcW w:w="1539" w:type="dxa"/>
            <w:tcBorders>
              <w:top w:val="nil"/>
              <w:left w:val="nil"/>
              <w:bottom w:val="nil"/>
              <w:right w:val="nil"/>
            </w:tcBorders>
          </w:tcPr>
          <w:p w:rsidR="00980084" w:rsidRDefault="00980084" w:rsidP="00980084">
            <w:pPr>
              <w:widowControl w:val="0"/>
              <w:autoSpaceDE w:val="0"/>
              <w:autoSpaceDN w:val="0"/>
              <w:adjustRightInd w:val="0"/>
            </w:pPr>
          </w:p>
        </w:tc>
        <w:tc>
          <w:tcPr>
            <w:tcW w:w="1311" w:type="dxa"/>
            <w:tcBorders>
              <w:top w:val="nil"/>
              <w:left w:val="nil"/>
              <w:bottom w:val="nil"/>
              <w:right w:val="nil"/>
            </w:tcBorders>
          </w:tcPr>
          <w:p w:rsidR="00980084" w:rsidRDefault="00980084" w:rsidP="00980084">
            <w:pPr>
              <w:widowControl w:val="0"/>
              <w:autoSpaceDE w:val="0"/>
              <w:autoSpaceDN w:val="0"/>
              <w:adjustRightInd w:val="0"/>
            </w:pP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left="882" w:hanging="483"/>
            </w:pPr>
            <w:r>
              <w:t>solid noncombustible</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Irradiated material, solid noncombustible</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Pr="002B26D4" w:rsidRDefault="00980084" w:rsidP="00980084">
            <w:pPr>
              <w:widowControl w:val="0"/>
              <w:autoSpaceDE w:val="0"/>
              <w:autoSpaceDN w:val="0"/>
              <w:adjustRightInd w:val="0"/>
              <w:ind w:firstLine="228"/>
            </w:pPr>
            <w:r>
              <w:t>Mixed radioactive waste,</w:t>
            </w:r>
            <w:r>
              <w:rPr>
                <w:vertAlign w:val="superscript"/>
              </w:rPr>
              <w:t>2</w:t>
            </w:r>
            <w:r>
              <w:t xml:space="preserve"> beta-gamma</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 xml:space="preserve">Packaged mixed waste, </w:t>
            </w:r>
            <w:r>
              <w:rPr>
                <w:vertAlign w:val="superscript"/>
              </w:rPr>
              <w:t>2</w:t>
            </w:r>
            <w:r>
              <w:t xml:space="preserve"> beta-gamma</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370,000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10,000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Any other alpha emitter</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Contaminated equipment, Alpha</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r>
              <w:t>Packaged waste, alpha</w:t>
            </w:r>
            <w:r w:rsidRPr="005D7BCD">
              <w:rPr>
                <w:vertAlign w:val="superscript"/>
              </w:rPr>
              <w:t>2</w:t>
            </w:r>
          </w:p>
        </w:tc>
        <w:tc>
          <w:tcPr>
            <w:tcW w:w="1368" w:type="dxa"/>
            <w:tcBorders>
              <w:top w:val="nil"/>
              <w:left w:val="nil"/>
              <w:bottom w:val="nil"/>
              <w:right w:val="nil"/>
            </w:tcBorders>
          </w:tcPr>
          <w:p w:rsidR="00980084" w:rsidRDefault="00980084" w:rsidP="00980084">
            <w:pPr>
              <w:widowControl w:val="0"/>
              <w:autoSpaceDE w:val="0"/>
              <w:autoSpaceDN w:val="0"/>
              <w:adjustRightInd w:val="0"/>
            </w:pPr>
            <w:r>
              <w:t>0.0001</w:t>
            </w:r>
          </w:p>
        </w:tc>
        <w:tc>
          <w:tcPr>
            <w:tcW w:w="1539" w:type="dxa"/>
            <w:tcBorders>
              <w:top w:val="nil"/>
              <w:left w:val="nil"/>
              <w:bottom w:val="nil"/>
              <w:right w:val="nil"/>
            </w:tcBorders>
          </w:tcPr>
          <w:p w:rsidR="00980084" w:rsidRDefault="00980084" w:rsidP="00980084">
            <w:pPr>
              <w:widowControl w:val="0"/>
              <w:autoSpaceDE w:val="0"/>
              <w:autoSpaceDN w:val="0"/>
              <w:adjustRightInd w:val="0"/>
            </w:pPr>
            <w:r>
              <w:t>740</w:t>
            </w:r>
          </w:p>
        </w:tc>
        <w:tc>
          <w:tcPr>
            <w:tcW w:w="1311" w:type="dxa"/>
            <w:tcBorders>
              <w:top w:val="nil"/>
              <w:left w:val="nil"/>
              <w:bottom w:val="nil"/>
              <w:right w:val="nil"/>
            </w:tcBorders>
          </w:tcPr>
          <w:p w:rsidR="00980084" w:rsidRDefault="00980084" w:rsidP="00980084">
            <w:pPr>
              <w:widowControl w:val="0"/>
              <w:autoSpaceDE w:val="0"/>
              <w:autoSpaceDN w:val="0"/>
              <w:adjustRightInd w:val="0"/>
            </w:pPr>
            <w:r>
              <w:t>20</w:t>
            </w:r>
          </w:p>
        </w:tc>
      </w:tr>
      <w:tr w:rsidR="00980084">
        <w:tblPrEx>
          <w:tblCellMar>
            <w:top w:w="0" w:type="dxa"/>
            <w:left w:w="0" w:type="dxa"/>
            <w:bottom w:w="0" w:type="dxa"/>
            <w:right w:w="0" w:type="dxa"/>
          </w:tblCellMar>
        </w:tblPrEx>
        <w:tc>
          <w:tcPr>
            <w:tcW w:w="5244" w:type="dxa"/>
            <w:tcBorders>
              <w:top w:val="nil"/>
              <w:left w:val="nil"/>
              <w:bottom w:val="nil"/>
              <w:right w:val="nil"/>
            </w:tcBorders>
          </w:tcPr>
          <w:p w:rsidR="00980084" w:rsidRDefault="00980084" w:rsidP="00980084">
            <w:pPr>
              <w:widowControl w:val="0"/>
              <w:autoSpaceDE w:val="0"/>
              <w:autoSpaceDN w:val="0"/>
              <w:adjustRightInd w:val="0"/>
              <w:ind w:firstLine="228"/>
            </w:pPr>
          </w:p>
        </w:tc>
        <w:tc>
          <w:tcPr>
            <w:tcW w:w="1368" w:type="dxa"/>
            <w:tcBorders>
              <w:top w:val="nil"/>
              <w:left w:val="nil"/>
              <w:bottom w:val="nil"/>
              <w:right w:val="nil"/>
            </w:tcBorders>
          </w:tcPr>
          <w:p w:rsidR="00980084" w:rsidRDefault="00980084" w:rsidP="00980084">
            <w:pPr>
              <w:widowControl w:val="0"/>
              <w:autoSpaceDE w:val="0"/>
              <w:autoSpaceDN w:val="0"/>
              <w:adjustRightInd w:val="0"/>
            </w:pPr>
          </w:p>
        </w:tc>
        <w:tc>
          <w:tcPr>
            <w:tcW w:w="1539" w:type="dxa"/>
            <w:tcBorders>
              <w:top w:val="nil"/>
              <w:left w:val="nil"/>
              <w:bottom w:val="nil"/>
              <w:right w:val="nil"/>
            </w:tcBorders>
          </w:tcPr>
          <w:p w:rsidR="00980084" w:rsidRDefault="00980084" w:rsidP="00980084">
            <w:pPr>
              <w:widowControl w:val="0"/>
              <w:autoSpaceDE w:val="0"/>
              <w:autoSpaceDN w:val="0"/>
              <w:adjustRightInd w:val="0"/>
            </w:pPr>
          </w:p>
        </w:tc>
        <w:tc>
          <w:tcPr>
            <w:tcW w:w="1311" w:type="dxa"/>
            <w:tcBorders>
              <w:top w:val="nil"/>
              <w:left w:val="nil"/>
              <w:bottom w:val="nil"/>
              <w:right w:val="nil"/>
            </w:tcBorders>
          </w:tcPr>
          <w:p w:rsidR="00980084" w:rsidRDefault="00980084" w:rsidP="00980084">
            <w:pPr>
              <w:widowControl w:val="0"/>
              <w:autoSpaceDE w:val="0"/>
              <w:autoSpaceDN w:val="0"/>
              <w:adjustRightInd w:val="0"/>
            </w:pPr>
          </w:p>
        </w:tc>
      </w:tr>
      <w:tr w:rsidR="00980084">
        <w:tblPrEx>
          <w:tblCellMar>
            <w:top w:w="0" w:type="dxa"/>
            <w:left w:w="0" w:type="dxa"/>
            <w:bottom w:w="0" w:type="dxa"/>
            <w:right w:w="0" w:type="dxa"/>
          </w:tblCellMar>
        </w:tblPrEx>
        <w:tc>
          <w:tcPr>
            <w:tcW w:w="9462" w:type="dxa"/>
            <w:gridSpan w:val="4"/>
            <w:tcBorders>
              <w:top w:val="nil"/>
              <w:left w:val="nil"/>
              <w:bottom w:val="nil"/>
              <w:right w:val="nil"/>
            </w:tcBorders>
          </w:tcPr>
          <w:p w:rsidR="00980084" w:rsidRPr="005D7BCD" w:rsidRDefault="00980084" w:rsidP="00980084">
            <w:pPr>
              <w:widowControl w:val="0"/>
              <w:tabs>
                <w:tab w:val="left" w:pos="11001"/>
              </w:tabs>
              <w:autoSpaceDE w:val="0"/>
              <w:autoSpaceDN w:val="0"/>
              <w:adjustRightInd w:val="0"/>
              <w:ind w:left="180" w:hanging="180"/>
              <w:rPr>
                <w:vertAlign w:val="superscript"/>
              </w:rPr>
            </w:pPr>
            <w:r>
              <w:rPr>
                <w:vertAlign w:val="superscript"/>
              </w:rPr>
              <w:t>1</w:t>
            </w:r>
            <w:r>
              <w:rPr>
                <w:vertAlign w:val="superscript"/>
              </w:rPr>
              <w:tab/>
            </w:r>
            <w:r>
              <w:t>For combinations of radioactive materials, the licensee is required to consider whether an emergency plan is needed if the sum of the ratios of the quantity of each radioactive material authorized to the quantity listed for that material above exceeds one.</w:t>
            </w:r>
          </w:p>
        </w:tc>
      </w:tr>
      <w:tr w:rsidR="00980084">
        <w:tblPrEx>
          <w:tblCellMar>
            <w:top w:w="0" w:type="dxa"/>
            <w:left w:w="0" w:type="dxa"/>
            <w:bottom w:w="0" w:type="dxa"/>
            <w:right w:w="0" w:type="dxa"/>
          </w:tblCellMar>
        </w:tblPrEx>
        <w:tc>
          <w:tcPr>
            <w:tcW w:w="9462" w:type="dxa"/>
            <w:gridSpan w:val="4"/>
            <w:tcBorders>
              <w:top w:val="nil"/>
              <w:left w:val="nil"/>
              <w:bottom w:val="nil"/>
              <w:right w:val="nil"/>
            </w:tcBorders>
          </w:tcPr>
          <w:p w:rsidR="00980084" w:rsidRPr="005D7BCD" w:rsidRDefault="00980084" w:rsidP="00980084">
            <w:pPr>
              <w:widowControl w:val="0"/>
              <w:autoSpaceDE w:val="0"/>
              <w:autoSpaceDN w:val="0"/>
              <w:adjustRightInd w:val="0"/>
              <w:ind w:left="180" w:hanging="180"/>
              <w:rPr>
                <w:vertAlign w:val="superscript"/>
              </w:rPr>
            </w:pPr>
            <w:r>
              <w:rPr>
                <w:vertAlign w:val="superscript"/>
              </w:rPr>
              <w:t>2</w:t>
            </w:r>
            <w:r>
              <w:rPr>
                <w:vertAlign w:val="superscript"/>
              </w:rPr>
              <w:tab/>
            </w:r>
            <w:r>
              <w:t>Waste packaged in Type B containers does not require an emergency plan.</w:t>
            </w:r>
          </w:p>
        </w:tc>
      </w:tr>
    </w:tbl>
    <w:p w:rsidR="00980084" w:rsidRDefault="00980084" w:rsidP="00980084">
      <w:pPr>
        <w:widowControl w:val="0"/>
        <w:autoSpaceDE w:val="0"/>
        <w:autoSpaceDN w:val="0"/>
        <w:adjustRightInd w:val="0"/>
      </w:pPr>
    </w:p>
    <w:p w:rsidR="00085725" w:rsidRPr="00D55B37" w:rsidRDefault="00085725">
      <w:pPr>
        <w:pStyle w:val="JCARSourceNote"/>
        <w:ind w:left="720"/>
      </w:pPr>
      <w:r w:rsidRPr="00D55B37">
        <w:t xml:space="preserve">(Source:  </w:t>
      </w:r>
      <w:r>
        <w:t>Amended</w:t>
      </w:r>
      <w:r w:rsidRPr="00D55B37">
        <w:t xml:space="preserve"> at </w:t>
      </w:r>
      <w:r>
        <w:t>35 I</w:t>
      </w:r>
      <w:r w:rsidRPr="00D55B37">
        <w:t xml:space="preserve">ll. Reg. </w:t>
      </w:r>
      <w:r w:rsidR="000E7471">
        <w:t>2931</w:t>
      </w:r>
      <w:r w:rsidRPr="00D55B37">
        <w:t xml:space="preserve">, effective </w:t>
      </w:r>
      <w:r w:rsidR="009658F8">
        <w:t>February 7, 2011</w:t>
      </w:r>
      <w:r w:rsidRPr="00D55B37">
        <w:t>)</w:t>
      </w:r>
    </w:p>
    <w:sectPr w:rsidR="00085725" w:rsidRPr="00D55B37" w:rsidSect="003E0B7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B3C"/>
    <w:rsid w:val="00085725"/>
    <w:rsid w:val="000E7471"/>
    <w:rsid w:val="002B26D4"/>
    <w:rsid w:val="003E0B78"/>
    <w:rsid w:val="005C3366"/>
    <w:rsid w:val="005D7BCD"/>
    <w:rsid w:val="00722241"/>
    <w:rsid w:val="00901674"/>
    <w:rsid w:val="00903399"/>
    <w:rsid w:val="009658F8"/>
    <w:rsid w:val="00980084"/>
    <w:rsid w:val="00B01C3C"/>
    <w:rsid w:val="00BD72FA"/>
    <w:rsid w:val="00C27407"/>
    <w:rsid w:val="00D27B3C"/>
    <w:rsid w:val="00F864CF"/>
    <w:rsid w:val="00F93C8E"/>
    <w:rsid w:val="00FD1A1A"/>
    <w:rsid w:val="00FD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08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5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08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85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