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EF" w:rsidRDefault="008002EF" w:rsidP="008002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02EF" w:rsidRDefault="008002EF" w:rsidP="008002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200.150  Burden of Proof</w:t>
      </w:r>
      <w:r>
        <w:t xml:space="preserve"> </w:t>
      </w:r>
    </w:p>
    <w:p w:rsidR="008002EF" w:rsidRDefault="008002EF" w:rsidP="008002EF">
      <w:pPr>
        <w:widowControl w:val="0"/>
        <w:autoSpaceDE w:val="0"/>
        <w:autoSpaceDN w:val="0"/>
        <w:adjustRightInd w:val="0"/>
      </w:pPr>
    </w:p>
    <w:p w:rsidR="008002EF" w:rsidRDefault="008002EF" w:rsidP="008002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burden of proof shall be on the </w:t>
      </w:r>
      <w:r w:rsidR="00E023E1">
        <w:t>Agency</w:t>
      </w:r>
      <w:r w:rsidR="00107B09">
        <w:t>,</w:t>
      </w:r>
      <w:r>
        <w:t xml:space="preserve"> unless the matter at issue is the denial of an application for licensure or accreditation, or an application for reinstatement of licensure or accreditation </w:t>
      </w:r>
      <w:r w:rsidR="00E023E1">
        <w:t>that</w:t>
      </w:r>
      <w:r>
        <w:t xml:space="preserve"> has been previously revoked, suspended, or otherwise terminated.  In such cases, the burden of proof shall be on the Respondent. </w:t>
      </w:r>
    </w:p>
    <w:p w:rsidR="007A0D30" w:rsidRDefault="007A0D30" w:rsidP="008002EF">
      <w:pPr>
        <w:widowControl w:val="0"/>
        <w:autoSpaceDE w:val="0"/>
        <w:autoSpaceDN w:val="0"/>
        <w:adjustRightInd w:val="0"/>
        <w:ind w:left="1440" w:hanging="720"/>
      </w:pPr>
    </w:p>
    <w:p w:rsidR="008002EF" w:rsidRDefault="008002EF" w:rsidP="008002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case of any new matter introduced in connection with any affirmative defense, the burden of proof shall be upon the party </w:t>
      </w:r>
      <w:r w:rsidR="00E023E1">
        <w:t>that</w:t>
      </w:r>
      <w:r>
        <w:t xml:space="preserve"> alleges </w:t>
      </w:r>
      <w:r w:rsidR="00401F12">
        <w:t>the</w:t>
      </w:r>
      <w:r>
        <w:t xml:space="preserve"> new matter. </w:t>
      </w:r>
    </w:p>
    <w:p w:rsidR="007A0D30" w:rsidRDefault="007A0D30" w:rsidP="008002EF">
      <w:pPr>
        <w:widowControl w:val="0"/>
        <w:autoSpaceDE w:val="0"/>
        <w:autoSpaceDN w:val="0"/>
        <w:adjustRightInd w:val="0"/>
        <w:ind w:left="1440" w:hanging="720"/>
      </w:pPr>
    </w:p>
    <w:p w:rsidR="008002EF" w:rsidRDefault="008002EF" w:rsidP="008002E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standard of proof with respect to all hearings conducted pursuant to this Part shall be a preponderance of the evidence. </w:t>
      </w:r>
    </w:p>
    <w:p w:rsidR="008002EF" w:rsidRDefault="008002EF" w:rsidP="008002EF">
      <w:pPr>
        <w:widowControl w:val="0"/>
        <w:autoSpaceDE w:val="0"/>
        <w:autoSpaceDN w:val="0"/>
        <w:adjustRightInd w:val="0"/>
        <w:ind w:left="1440" w:hanging="720"/>
      </w:pPr>
    </w:p>
    <w:p w:rsidR="00E023E1" w:rsidRPr="00D55B37" w:rsidRDefault="00E023E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9437EC">
        <w:t>14137</w:t>
      </w:r>
      <w:r w:rsidRPr="00D55B37">
        <w:t xml:space="preserve">, effective </w:t>
      </w:r>
      <w:r w:rsidR="009437EC">
        <w:t>September 28, 2009</w:t>
      </w:r>
      <w:r w:rsidRPr="00D55B37">
        <w:t>)</w:t>
      </w:r>
    </w:p>
    <w:sectPr w:rsidR="00E023E1" w:rsidRPr="00D55B37" w:rsidSect="00800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2EF"/>
    <w:rsid w:val="000B5162"/>
    <w:rsid w:val="000E3042"/>
    <w:rsid w:val="00107B09"/>
    <w:rsid w:val="00401F12"/>
    <w:rsid w:val="005C3366"/>
    <w:rsid w:val="007A0D30"/>
    <w:rsid w:val="008002EF"/>
    <w:rsid w:val="008F306D"/>
    <w:rsid w:val="009437EC"/>
    <w:rsid w:val="00D91495"/>
    <w:rsid w:val="00DE66EC"/>
    <w:rsid w:val="00E023E1"/>
    <w:rsid w:val="00FC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2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