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B0A51" w14:textId="77777777" w:rsidR="00172B77" w:rsidRDefault="00172B77" w:rsidP="00172B77">
      <w:pPr>
        <w:widowControl w:val="0"/>
        <w:autoSpaceDE w:val="0"/>
        <w:autoSpaceDN w:val="0"/>
        <w:adjustRightInd w:val="0"/>
      </w:pPr>
    </w:p>
    <w:p w14:paraId="6347A94E" w14:textId="77777777" w:rsidR="00172B77" w:rsidRDefault="00172B77" w:rsidP="00172B77">
      <w:pPr>
        <w:widowControl w:val="0"/>
        <w:autoSpaceDE w:val="0"/>
        <w:autoSpaceDN w:val="0"/>
        <w:adjustRightInd w:val="0"/>
      </w:pPr>
      <w:r>
        <w:rPr>
          <w:b/>
          <w:bCs/>
        </w:rPr>
        <w:t>Section 301.250  Hazard Specific Annexes</w:t>
      </w:r>
      <w:r>
        <w:t xml:space="preserve"> </w:t>
      </w:r>
    </w:p>
    <w:p w14:paraId="4F36F40B" w14:textId="77777777" w:rsidR="00172B77" w:rsidRDefault="00172B77" w:rsidP="00172B77">
      <w:pPr>
        <w:widowControl w:val="0"/>
        <w:autoSpaceDE w:val="0"/>
        <w:autoSpaceDN w:val="0"/>
        <w:adjustRightInd w:val="0"/>
      </w:pPr>
    </w:p>
    <w:p w14:paraId="0A3D3A9E" w14:textId="77777777" w:rsidR="00172B77" w:rsidRDefault="00172B77" w:rsidP="00172B77">
      <w:pPr>
        <w:widowControl w:val="0"/>
        <w:autoSpaceDE w:val="0"/>
        <w:autoSpaceDN w:val="0"/>
        <w:adjustRightInd w:val="0"/>
        <w:ind w:left="1440" w:hanging="720"/>
      </w:pPr>
      <w:r>
        <w:t>a)</w:t>
      </w:r>
      <w:r>
        <w:tab/>
        <w:t xml:space="preserve">Each hazard specific annex of the EOP shall individually address: </w:t>
      </w:r>
    </w:p>
    <w:p w14:paraId="69FE7319" w14:textId="77777777" w:rsidR="00D37429" w:rsidRDefault="00D37429" w:rsidP="00790DB7">
      <w:pPr>
        <w:widowControl w:val="0"/>
        <w:autoSpaceDE w:val="0"/>
        <w:autoSpaceDN w:val="0"/>
        <w:adjustRightInd w:val="0"/>
      </w:pPr>
    </w:p>
    <w:p w14:paraId="61926CA8" w14:textId="77777777" w:rsidR="00064A11" w:rsidRDefault="00172B77" w:rsidP="00172B77">
      <w:pPr>
        <w:widowControl w:val="0"/>
        <w:autoSpaceDE w:val="0"/>
        <w:autoSpaceDN w:val="0"/>
        <w:adjustRightInd w:val="0"/>
        <w:ind w:left="2160" w:hanging="720"/>
      </w:pPr>
      <w:r>
        <w:t>1)</w:t>
      </w:r>
      <w:r>
        <w:tab/>
        <w:t xml:space="preserve">The </w:t>
      </w:r>
      <w:r w:rsidR="00064A11">
        <w:t xml:space="preserve">annex's </w:t>
      </w:r>
      <w:r>
        <w:t xml:space="preserve">purpose </w:t>
      </w:r>
      <w:r w:rsidR="007F0C92">
        <w:t>and</w:t>
      </w:r>
      <w:r w:rsidR="00064A11">
        <w:t>:</w:t>
      </w:r>
    </w:p>
    <w:p w14:paraId="495F5C6C" w14:textId="77777777" w:rsidR="00064A11" w:rsidRDefault="00064A11" w:rsidP="00790DB7">
      <w:pPr>
        <w:widowControl w:val="0"/>
        <w:autoSpaceDE w:val="0"/>
        <w:autoSpaceDN w:val="0"/>
        <w:adjustRightInd w:val="0"/>
      </w:pPr>
    </w:p>
    <w:p w14:paraId="6A696A95" w14:textId="77777777" w:rsidR="00064A11" w:rsidRDefault="00064A11" w:rsidP="00064A11">
      <w:pPr>
        <w:widowControl w:val="0"/>
        <w:autoSpaceDE w:val="0"/>
        <w:autoSpaceDN w:val="0"/>
        <w:adjustRightInd w:val="0"/>
        <w:ind w:left="2880" w:hanging="720"/>
      </w:pPr>
      <w:r>
        <w:t>A)</w:t>
      </w:r>
      <w:r>
        <w:tab/>
      </w:r>
      <w:r w:rsidR="007F0C92">
        <w:t>scope</w:t>
      </w:r>
      <w:r>
        <w:t>;</w:t>
      </w:r>
      <w:r w:rsidR="007F0C92">
        <w:t xml:space="preserve"> or </w:t>
      </w:r>
    </w:p>
    <w:p w14:paraId="692ABDAD" w14:textId="77777777" w:rsidR="00064A11" w:rsidRDefault="00064A11" w:rsidP="00790DB7">
      <w:pPr>
        <w:widowControl w:val="0"/>
        <w:autoSpaceDE w:val="0"/>
        <w:autoSpaceDN w:val="0"/>
        <w:adjustRightInd w:val="0"/>
      </w:pPr>
    </w:p>
    <w:p w14:paraId="27BB971A" w14:textId="77777777" w:rsidR="00172B77" w:rsidRDefault="00064A11" w:rsidP="00064A11">
      <w:pPr>
        <w:widowControl w:val="0"/>
        <w:autoSpaceDE w:val="0"/>
        <w:autoSpaceDN w:val="0"/>
        <w:adjustRightInd w:val="0"/>
        <w:ind w:left="2880" w:hanging="720"/>
      </w:pPr>
      <w:r>
        <w:t>B)</w:t>
      </w:r>
      <w:r>
        <w:tab/>
      </w:r>
      <w:r w:rsidR="007F0C92">
        <w:t>goals and objectives</w:t>
      </w:r>
      <w:r>
        <w:t>;</w:t>
      </w:r>
      <w:r w:rsidR="00172B77">
        <w:t xml:space="preserve"> </w:t>
      </w:r>
    </w:p>
    <w:p w14:paraId="62A08095" w14:textId="77777777" w:rsidR="00D37429" w:rsidRDefault="00D37429" w:rsidP="00790DB7">
      <w:pPr>
        <w:widowControl w:val="0"/>
        <w:autoSpaceDE w:val="0"/>
        <w:autoSpaceDN w:val="0"/>
        <w:adjustRightInd w:val="0"/>
      </w:pPr>
    </w:p>
    <w:p w14:paraId="4271C08D" w14:textId="77777777" w:rsidR="00172B77" w:rsidRDefault="00172B77" w:rsidP="00172B77">
      <w:pPr>
        <w:widowControl w:val="0"/>
        <w:autoSpaceDE w:val="0"/>
        <w:autoSpaceDN w:val="0"/>
        <w:adjustRightInd w:val="0"/>
        <w:ind w:left="2160" w:hanging="720"/>
      </w:pPr>
      <w:r>
        <w:t>2)</w:t>
      </w:r>
      <w:r>
        <w:tab/>
      </w:r>
      <w:r w:rsidR="007F0C92">
        <w:t>Authority;</w:t>
      </w:r>
      <w:r>
        <w:t xml:space="preserve"> </w:t>
      </w:r>
    </w:p>
    <w:p w14:paraId="20F4B4B2" w14:textId="77777777" w:rsidR="00D37429" w:rsidRDefault="00D37429" w:rsidP="00790DB7">
      <w:pPr>
        <w:widowControl w:val="0"/>
        <w:autoSpaceDE w:val="0"/>
        <w:autoSpaceDN w:val="0"/>
        <w:adjustRightInd w:val="0"/>
      </w:pPr>
    </w:p>
    <w:p w14:paraId="66C4D17A" w14:textId="77777777" w:rsidR="00172B77" w:rsidRDefault="00172B77" w:rsidP="00172B77">
      <w:pPr>
        <w:widowControl w:val="0"/>
        <w:autoSpaceDE w:val="0"/>
        <w:autoSpaceDN w:val="0"/>
        <w:adjustRightInd w:val="0"/>
        <w:ind w:left="2160" w:hanging="720"/>
      </w:pPr>
      <w:r>
        <w:t>3)</w:t>
      </w:r>
      <w:r>
        <w:tab/>
      </w:r>
      <w:r w:rsidR="007F0C92">
        <w:t>Situation and assumptions;</w:t>
      </w:r>
      <w:r>
        <w:t xml:space="preserve"> </w:t>
      </w:r>
    </w:p>
    <w:p w14:paraId="27A513BB" w14:textId="77777777" w:rsidR="00D37429" w:rsidRDefault="00D37429" w:rsidP="00790DB7">
      <w:pPr>
        <w:widowControl w:val="0"/>
        <w:autoSpaceDE w:val="0"/>
        <w:autoSpaceDN w:val="0"/>
        <w:adjustRightInd w:val="0"/>
      </w:pPr>
    </w:p>
    <w:p w14:paraId="02F2C1AE" w14:textId="77777777" w:rsidR="007F0C92" w:rsidRDefault="00172B77" w:rsidP="007F0C92">
      <w:pPr>
        <w:widowControl w:val="0"/>
        <w:autoSpaceDE w:val="0"/>
        <w:autoSpaceDN w:val="0"/>
        <w:adjustRightInd w:val="0"/>
        <w:ind w:left="2160" w:hanging="720"/>
      </w:pPr>
      <w:r>
        <w:t>4)</w:t>
      </w:r>
      <w:r>
        <w:tab/>
      </w:r>
      <w:r w:rsidR="007F0C92">
        <w:t>Identification of and functional roles and responsibilities for internal and external agencies, organizations, departments and positions;</w:t>
      </w:r>
    </w:p>
    <w:p w14:paraId="35FCF466" w14:textId="77777777" w:rsidR="007F0C92" w:rsidRDefault="007F0C92" w:rsidP="00790DB7">
      <w:pPr>
        <w:widowControl w:val="0"/>
        <w:autoSpaceDE w:val="0"/>
        <w:autoSpaceDN w:val="0"/>
        <w:adjustRightInd w:val="0"/>
      </w:pPr>
    </w:p>
    <w:p w14:paraId="4438ABC6" w14:textId="77777777" w:rsidR="007F0C92" w:rsidRDefault="007F0C92" w:rsidP="007F0C92">
      <w:pPr>
        <w:widowControl w:val="0"/>
        <w:autoSpaceDE w:val="0"/>
        <w:autoSpaceDN w:val="0"/>
        <w:adjustRightInd w:val="0"/>
        <w:ind w:left="2160" w:hanging="720"/>
      </w:pPr>
      <w:r>
        <w:t>5)</w:t>
      </w:r>
      <w:r>
        <w:tab/>
        <w:t xml:space="preserve">Logistical support and resource requirements necessary to implement the annex; </w:t>
      </w:r>
    </w:p>
    <w:p w14:paraId="4D2296AF" w14:textId="77777777" w:rsidR="007F0C92" w:rsidRDefault="007F0C92" w:rsidP="00790DB7">
      <w:pPr>
        <w:widowControl w:val="0"/>
        <w:autoSpaceDE w:val="0"/>
        <w:autoSpaceDN w:val="0"/>
        <w:adjustRightInd w:val="0"/>
      </w:pPr>
    </w:p>
    <w:p w14:paraId="42FB838D" w14:textId="77777777" w:rsidR="00172B77" w:rsidRDefault="007F0C92" w:rsidP="00172B77">
      <w:pPr>
        <w:widowControl w:val="0"/>
        <w:autoSpaceDE w:val="0"/>
        <w:autoSpaceDN w:val="0"/>
        <w:adjustRightInd w:val="0"/>
        <w:ind w:left="2160" w:hanging="720"/>
      </w:pPr>
      <w:r>
        <w:t>6)</w:t>
      </w:r>
      <w:r>
        <w:tab/>
      </w:r>
      <w:r w:rsidR="00172B77">
        <w:t>The concept of operations for the hazard specific annex</w:t>
      </w:r>
      <w:r>
        <w:t>; and</w:t>
      </w:r>
      <w:r w:rsidR="00172B77">
        <w:t xml:space="preserve"> </w:t>
      </w:r>
    </w:p>
    <w:p w14:paraId="45F2991B" w14:textId="77777777" w:rsidR="00D37429" w:rsidRDefault="00D37429" w:rsidP="00790DB7">
      <w:pPr>
        <w:widowControl w:val="0"/>
        <w:autoSpaceDE w:val="0"/>
        <w:autoSpaceDN w:val="0"/>
        <w:adjustRightInd w:val="0"/>
      </w:pPr>
    </w:p>
    <w:p w14:paraId="06E87555" w14:textId="77777777" w:rsidR="00172B77" w:rsidRDefault="007F0C92" w:rsidP="00172B77">
      <w:pPr>
        <w:widowControl w:val="0"/>
        <w:autoSpaceDE w:val="0"/>
        <w:autoSpaceDN w:val="0"/>
        <w:adjustRightInd w:val="0"/>
        <w:ind w:left="2160" w:hanging="720"/>
      </w:pPr>
      <w:r>
        <w:t>7</w:t>
      </w:r>
      <w:r w:rsidR="00172B77">
        <w:t>)</w:t>
      </w:r>
      <w:r w:rsidR="00172B77">
        <w:tab/>
        <w:t xml:space="preserve">Assignment of responsibility for annex maintenance, review and updating. </w:t>
      </w:r>
    </w:p>
    <w:p w14:paraId="1EE9ED29" w14:textId="77777777" w:rsidR="00D37429" w:rsidRDefault="00D37429" w:rsidP="00790DB7">
      <w:pPr>
        <w:widowControl w:val="0"/>
        <w:autoSpaceDE w:val="0"/>
        <w:autoSpaceDN w:val="0"/>
        <w:adjustRightInd w:val="0"/>
      </w:pPr>
    </w:p>
    <w:p w14:paraId="0F3C08FA" w14:textId="77777777" w:rsidR="00460F00" w:rsidRDefault="00460F00" w:rsidP="009B459C">
      <w:pPr>
        <w:widowControl w:val="0"/>
        <w:tabs>
          <w:tab w:val="left" w:pos="720"/>
        </w:tabs>
        <w:autoSpaceDE w:val="0"/>
        <w:autoSpaceDN w:val="0"/>
        <w:adjustRightInd w:val="0"/>
        <w:ind w:left="1440" w:hanging="720"/>
      </w:pPr>
      <w:r>
        <w:t>b)</w:t>
      </w:r>
      <w:r>
        <w:tab/>
        <w:t xml:space="preserve">In addition to the </w:t>
      </w:r>
      <w:r w:rsidR="007503A6">
        <w:t xml:space="preserve">above </w:t>
      </w:r>
      <w:r>
        <w:t>requirements</w:t>
      </w:r>
      <w:r w:rsidR="00D6200E">
        <w:t xml:space="preserve"> of subsection (a)</w:t>
      </w:r>
      <w:r>
        <w:t>, each hazard specific annex of the EOP may include functional appendices, tabs, check</w:t>
      </w:r>
      <w:r w:rsidR="007503A6">
        <w:t>-</w:t>
      </w:r>
      <w:r>
        <w:t>lists and job</w:t>
      </w:r>
      <w:r w:rsidR="00D6200E">
        <w:t xml:space="preserve"> </w:t>
      </w:r>
      <w:r>
        <w:t>aids.</w:t>
      </w:r>
    </w:p>
    <w:p w14:paraId="0D311273" w14:textId="77777777" w:rsidR="00460F00" w:rsidRDefault="00460F00" w:rsidP="00460F00">
      <w:pPr>
        <w:widowControl w:val="0"/>
        <w:tabs>
          <w:tab w:val="left" w:pos="720"/>
        </w:tabs>
        <w:autoSpaceDE w:val="0"/>
        <w:autoSpaceDN w:val="0"/>
        <w:adjustRightInd w:val="0"/>
        <w:ind w:left="1440" w:hanging="1440"/>
      </w:pPr>
    </w:p>
    <w:p w14:paraId="2E9D7F06" w14:textId="77777777" w:rsidR="00172B77" w:rsidRDefault="00460F00" w:rsidP="00172B77">
      <w:pPr>
        <w:widowControl w:val="0"/>
        <w:autoSpaceDE w:val="0"/>
        <w:autoSpaceDN w:val="0"/>
        <w:adjustRightInd w:val="0"/>
        <w:ind w:left="1440" w:hanging="720"/>
      </w:pPr>
      <w:r>
        <w:t>c</w:t>
      </w:r>
      <w:r w:rsidR="00172B77">
        <w:t>)</w:t>
      </w:r>
      <w:r w:rsidR="00172B77">
        <w:tab/>
      </w:r>
      <w:r>
        <w:t>The</w:t>
      </w:r>
      <w:r w:rsidR="00172B77">
        <w:t xml:space="preserve"> EOP shall include, as a Hazardous Materials annex, all applicable portions of </w:t>
      </w:r>
      <w:r w:rsidR="002A6DFD">
        <w:t>an</w:t>
      </w:r>
      <w:r w:rsidR="00172B77">
        <w:t xml:space="preserve"> LEPC chemical emergency response plan for the political subdivision, developed in accordance with the requirements of the Illinois EPCRA.  The SERC shall appoint an ESDA coordinator from within the LEPC's emergency planning district to serve as a member of the LEPC in the development of the LEPC chemical emergency response plan. </w:t>
      </w:r>
    </w:p>
    <w:p w14:paraId="6B1EDA53" w14:textId="77777777" w:rsidR="00D37429" w:rsidRDefault="00D37429" w:rsidP="00790DB7">
      <w:pPr>
        <w:widowControl w:val="0"/>
        <w:autoSpaceDE w:val="0"/>
        <w:autoSpaceDN w:val="0"/>
        <w:adjustRightInd w:val="0"/>
      </w:pPr>
    </w:p>
    <w:p w14:paraId="19AA977E" w14:textId="77777777" w:rsidR="00172B77" w:rsidRDefault="00460F00" w:rsidP="00172B77">
      <w:pPr>
        <w:widowControl w:val="0"/>
        <w:autoSpaceDE w:val="0"/>
        <w:autoSpaceDN w:val="0"/>
        <w:adjustRightInd w:val="0"/>
        <w:ind w:left="1440" w:hanging="720"/>
      </w:pPr>
      <w:r>
        <w:t>d</w:t>
      </w:r>
      <w:r w:rsidR="00172B77">
        <w:t>)</w:t>
      </w:r>
      <w:r w:rsidR="00172B77">
        <w:tab/>
        <w:t xml:space="preserve">Based upon United States Geological Survey calculations of probable areas subject to earthquake damage, IEMA has determined that the EOPs of the following county ESDAs and of political subdivision ESDAs located within the following counties shall include an Earthquake annex: Alexander, Calhoun, Crawford, Edwards, Franklin, Gallatin, Hamilton, Hardin, Jackson, Jefferson, Jersey, Johnson, Lawrence, Madison, Massac, Monroe, Perry, Pope, Pulaski, Randolph, Richland, Saline, St. Clair, Union, Wabash, Washington, Wayne, White, and Williamson.  In addition to addressing the requirements of subsection (a), the Earthquake annex shall address, at a minimum: </w:t>
      </w:r>
    </w:p>
    <w:p w14:paraId="408281A2" w14:textId="77777777" w:rsidR="00D37429" w:rsidRDefault="00D37429" w:rsidP="00790DB7">
      <w:pPr>
        <w:widowControl w:val="0"/>
        <w:autoSpaceDE w:val="0"/>
        <w:autoSpaceDN w:val="0"/>
        <w:adjustRightInd w:val="0"/>
      </w:pPr>
    </w:p>
    <w:p w14:paraId="69B3FAEB" w14:textId="77777777" w:rsidR="00172B77" w:rsidRDefault="00172B77" w:rsidP="00172B77">
      <w:pPr>
        <w:widowControl w:val="0"/>
        <w:autoSpaceDE w:val="0"/>
        <w:autoSpaceDN w:val="0"/>
        <w:adjustRightInd w:val="0"/>
        <w:ind w:left="2160" w:hanging="720"/>
      </w:pPr>
      <w:r>
        <w:lastRenderedPageBreak/>
        <w:t>1)</w:t>
      </w:r>
      <w:r>
        <w:tab/>
        <w:t xml:space="preserve">For Direction and Control purposes: </w:t>
      </w:r>
    </w:p>
    <w:p w14:paraId="38ADE5C2" w14:textId="77777777" w:rsidR="00D37429" w:rsidRDefault="00D37429" w:rsidP="00790DB7">
      <w:pPr>
        <w:widowControl w:val="0"/>
        <w:autoSpaceDE w:val="0"/>
        <w:autoSpaceDN w:val="0"/>
        <w:adjustRightInd w:val="0"/>
      </w:pPr>
    </w:p>
    <w:p w14:paraId="02541BE5" w14:textId="77777777" w:rsidR="00172B77" w:rsidRDefault="00172B77" w:rsidP="00172B77">
      <w:pPr>
        <w:widowControl w:val="0"/>
        <w:autoSpaceDE w:val="0"/>
        <w:autoSpaceDN w:val="0"/>
        <w:adjustRightInd w:val="0"/>
        <w:ind w:left="2880" w:hanging="720"/>
      </w:pPr>
      <w:r>
        <w:t>A)</w:t>
      </w:r>
      <w:r>
        <w:tab/>
        <w:t xml:space="preserve">The use of ground or aerial surveys, or both, to determine the scope of the damage, casualties, and the status of critical facilities. </w:t>
      </w:r>
    </w:p>
    <w:p w14:paraId="6FBEE08D" w14:textId="77777777" w:rsidR="00D37429" w:rsidRDefault="00D37429" w:rsidP="00790DB7">
      <w:pPr>
        <w:widowControl w:val="0"/>
        <w:autoSpaceDE w:val="0"/>
        <w:autoSpaceDN w:val="0"/>
        <w:adjustRightInd w:val="0"/>
      </w:pPr>
    </w:p>
    <w:p w14:paraId="08B9828E" w14:textId="77777777" w:rsidR="00172B77" w:rsidRDefault="00172B77" w:rsidP="00172B77">
      <w:pPr>
        <w:widowControl w:val="0"/>
        <w:autoSpaceDE w:val="0"/>
        <w:autoSpaceDN w:val="0"/>
        <w:adjustRightInd w:val="0"/>
        <w:ind w:left="2880" w:hanging="720"/>
      </w:pPr>
      <w:r>
        <w:t>B)</w:t>
      </w:r>
      <w:r>
        <w:tab/>
        <w:t xml:space="preserve">The use of damage assessment information to identify the facilities and areas where urban search and rescue operations are to be conducted and to establish priorities for search and rescue operations. </w:t>
      </w:r>
    </w:p>
    <w:p w14:paraId="4FD23968" w14:textId="77777777" w:rsidR="00D37429" w:rsidRDefault="00D37429" w:rsidP="00790DB7">
      <w:pPr>
        <w:widowControl w:val="0"/>
        <w:autoSpaceDE w:val="0"/>
        <w:autoSpaceDN w:val="0"/>
        <w:adjustRightInd w:val="0"/>
      </w:pPr>
    </w:p>
    <w:p w14:paraId="4EF130FC" w14:textId="77777777" w:rsidR="00172B77" w:rsidRDefault="00172B77" w:rsidP="00172B77">
      <w:pPr>
        <w:widowControl w:val="0"/>
        <w:autoSpaceDE w:val="0"/>
        <w:autoSpaceDN w:val="0"/>
        <w:adjustRightInd w:val="0"/>
        <w:ind w:left="3600" w:hanging="720"/>
      </w:pPr>
      <w:r>
        <w:t>i)</w:t>
      </w:r>
      <w:r>
        <w:tab/>
        <w:t xml:space="preserve">Provisions to control access into and out of damaged areas. </w:t>
      </w:r>
    </w:p>
    <w:p w14:paraId="15F10419" w14:textId="77777777" w:rsidR="00D37429" w:rsidRDefault="00D37429" w:rsidP="00790DB7">
      <w:pPr>
        <w:widowControl w:val="0"/>
        <w:autoSpaceDE w:val="0"/>
        <w:autoSpaceDN w:val="0"/>
        <w:adjustRightInd w:val="0"/>
      </w:pPr>
    </w:p>
    <w:p w14:paraId="5A36F0AC" w14:textId="77777777" w:rsidR="00172B77" w:rsidRDefault="00172B77" w:rsidP="00172B77">
      <w:pPr>
        <w:widowControl w:val="0"/>
        <w:autoSpaceDE w:val="0"/>
        <w:autoSpaceDN w:val="0"/>
        <w:adjustRightInd w:val="0"/>
        <w:ind w:left="3600" w:hanging="720"/>
      </w:pPr>
      <w:r>
        <w:t>ii)</w:t>
      </w:r>
      <w:r>
        <w:tab/>
        <w:t xml:space="preserve">The inspection of buildings and other structures to determine habitability or the need for condemnation or demolition and how such determinations will be marked. </w:t>
      </w:r>
    </w:p>
    <w:p w14:paraId="08BBDC2A" w14:textId="77777777" w:rsidR="00D37429" w:rsidRDefault="00D37429" w:rsidP="00790DB7">
      <w:pPr>
        <w:widowControl w:val="0"/>
        <w:autoSpaceDE w:val="0"/>
        <w:autoSpaceDN w:val="0"/>
        <w:adjustRightInd w:val="0"/>
      </w:pPr>
    </w:p>
    <w:p w14:paraId="29F9FD64" w14:textId="77777777" w:rsidR="00172B77" w:rsidRDefault="00172B77" w:rsidP="00172B77">
      <w:pPr>
        <w:widowControl w:val="0"/>
        <w:autoSpaceDE w:val="0"/>
        <w:autoSpaceDN w:val="0"/>
        <w:adjustRightInd w:val="0"/>
        <w:ind w:left="2160" w:hanging="720"/>
      </w:pPr>
      <w:r>
        <w:t>2)</w:t>
      </w:r>
      <w:r>
        <w:tab/>
        <w:t xml:space="preserve">For Public Information purposes: </w:t>
      </w:r>
    </w:p>
    <w:p w14:paraId="767ABFC3" w14:textId="77777777" w:rsidR="00D37429" w:rsidRDefault="00D37429" w:rsidP="00790DB7">
      <w:pPr>
        <w:widowControl w:val="0"/>
        <w:autoSpaceDE w:val="0"/>
        <w:autoSpaceDN w:val="0"/>
        <w:adjustRightInd w:val="0"/>
      </w:pPr>
    </w:p>
    <w:p w14:paraId="5E1BA542" w14:textId="77777777" w:rsidR="00172B77" w:rsidRDefault="00172B77" w:rsidP="00172B77">
      <w:pPr>
        <w:widowControl w:val="0"/>
        <w:autoSpaceDE w:val="0"/>
        <w:autoSpaceDN w:val="0"/>
        <w:adjustRightInd w:val="0"/>
        <w:ind w:left="2880" w:hanging="720"/>
      </w:pPr>
      <w:r>
        <w:t>A)</w:t>
      </w:r>
      <w:r>
        <w:tab/>
        <w:t xml:space="preserve">The development and distribution of survival tips on what to do during and immediately after an earthquake. </w:t>
      </w:r>
    </w:p>
    <w:p w14:paraId="659FB3E9" w14:textId="77777777" w:rsidR="00D37429" w:rsidRDefault="00D37429" w:rsidP="00790DB7">
      <w:pPr>
        <w:widowControl w:val="0"/>
        <w:autoSpaceDE w:val="0"/>
        <w:autoSpaceDN w:val="0"/>
        <w:adjustRightInd w:val="0"/>
      </w:pPr>
    </w:p>
    <w:p w14:paraId="3AC5D0CE" w14:textId="77777777" w:rsidR="00172B77" w:rsidRDefault="00172B77" w:rsidP="00172B77">
      <w:pPr>
        <w:widowControl w:val="0"/>
        <w:autoSpaceDE w:val="0"/>
        <w:autoSpaceDN w:val="0"/>
        <w:adjustRightInd w:val="0"/>
        <w:ind w:left="2880" w:hanging="720"/>
      </w:pPr>
      <w:r>
        <w:t>B)</w:t>
      </w:r>
      <w:r>
        <w:tab/>
        <w:t xml:space="preserve">The distribution of warnings and advice on the continuing threats of fire, unsafe areas, building collapse, aftershocks, and other hazards. </w:t>
      </w:r>
    </w:p>
    <w:p w14:paraId="51E83C89" w14:textId="77777777" w:rsidR="00D37429" w:rsidRDefault="00D37429" w:rsidP="00790DB7">
      <w:pPr>
        <w:widowControl w:val="0"/>
        <w:autoSpaceDE w:val="0"/>
        <w:autoSpaceDN w:val="0"/>
        <w:adjustRightInd w:val="0"/>
      </w:pPr>
    </w:p>
    <w:p w14:paraId="55673B78" w14:textId="77777777" w:rsidR="00172B77" w:rsidRDefault="00172B77" w:rsidP="00172B77">
      <w:pPr>
        <w:widowControl w:val="0"/>
        <w:autoSpaceDE w:val="0"/>
        <w:autoSpaceDN w:val="0"/>
        <w:adjustRightInd w:val="0"/>
        <w:ind w:left="2880" w:hanging="720"/>
      </w:pPr>
      <w:r>
        <w:t>C)</w:t>
      </w:r>
      <w:r>
        <w:tab/>
        <w:t xml:space="preserve">Public notification of emergency assistance locations, such as shelter, medical services, and food and water. </w:t>
      </w:r>
    </w:p>
    <w:p w14:paraId="7461536A" w14:textId="77777777" w:rsidR="00D37429" w:rsidRDefault="00D37429" w:rsidP="00790DB7">
      <w:pPr>
        <w:widowControl w:val="0"/>
        <w:autoSpaceDE w:val="0"/>
        <w:autoSpaceDN w:val="0"/>
        <w:adjustRightInd w:val="0"/>
      </w:pPr>
    </w:p>
    <w:p w14:paraId="54CA0E21" w14:textId="77777777" w:rsidR="00172B77" w:rsidRDefault="00172B77" w:rsidP="00C222F4">
      <w:pPr>
        <w:widowControl w:val="0"/>
        <w:autoSpaceDE w:val="0"/>
        <w:autoSpaceDN w:val="0"/>
        <w:adjustRightInd w:val="0"/>
        <w:ind w:left="2160" w:hanging="720"/>
      </w:pPr>
      <w:r>
        <w:t>3)</w:t>
      </w:r>
      <w:r>
        <w:tab/>
        <w:t>For Evacuation purposes</w:t>
      </w:r>
      <w:r w:rsidR="00C222F4">
        <w:t>, provisions</w:t>
      </w:r>
      <w:r>
        <w:t xml:space="preserve"> for moving residents of custodial facilities, including, but not limited to, hospitals and jails, following an earthquake due to structural damage from the earthquake or projected aftershocks. </w:t>
      </w:r>
    </w:p>
    <w:p w14:paraId="668CF54E" w14:textId="77777777" w:rsidR="00D37429" w:rsidRDefault="00D37429" w:rsidP="00790DB7">
      <w:pPr>
        <w:widowControl w:val="0"/>
        <w:autoSpaceDE w:val="0"/>
        <w:autoSpaceDN w:val="0"/>
        <w:adjustRightInd w:val="0"/>
      </w:pPr>
    </w:p>
    <w:p w14:paraId="48ABB210" w14:textId="77777777" w:rsidR="00172B77" w:rsidRDefault="00172B77" w:rsidP="00172B77">
      <w:pPr>
        <w:widowControl w:val="0"/>
        <w:autoSpaceDE w:val="0"/>
        <w:autoSpaceDN w:val="0"/>
        <w:adjustRightInd w:val="0"/>
        <w:ind w:left="2160" w:hanging="720"/>
      </w:pPr>
      <w:r>
        <w:t>4)</w:t>
      </w:r>
      <w:r>
        <w:tab/>
        <w:t xml:space="preserve">For Mass Care purposes: </w:t>
      </w:r>
    </w:p>
    <w:p w14:paraId="7DDAEBE5" w14:textId="77777777" w:rsidR="00D37429" w:rsidRDefault="00D37429" w:rsidP="00790DB7">
      <w:pPr>
        <w:widowControl w:val="0"/>
        <w:autoSpaceDE w:val="0"/>
        <w:autoSpaceDN w:val="0"/>
        <w:adjustRightInd w:val="0"/>
      </w:pPr>
    </w:p>
    <w:p w14:paraId="5298B976" w14:textId="77777777" w:rsidR="00172B77" w:rsidRDefault="00172B77" w:rsidP="00172B77">
      <w:pPr>
        <w:widowControl w:val="0"/>
        <w:autoSpaceDE w:val="0"/>
        <w:autoSpaceDN w:val="0"/>
        <w:adjustRightInd w:val="0"/>
        <w:ind w:left="2880" w:hanging="720"/>
      </w:pPr>
      <w:r>
        <w:t>A)</w:t>
      </w:r>
      <w:r>
        <w:tab/>
        <w:t xml:space="preserve">Identification of mass care facilities in low seismic risk areas that are away from secondary effect threats. </w:t>
      </w:r>
    </w:p>
    <w:p w14:paraId="480FB4B7" w14:textId="77777777" w:rsidR="00D37429" w:rsidRDefault="00D37429" w:rsidP="00790DB7">
      <w:pPr>
        <w:widowControl w:val="0"/>
        <w:autoSpaceDE w:val="0"/>
        <w:autoSpaceDN w:val="0"/>
        <w:adjustRightInd w:val="0"/>
      </w:pPr>
    </w:p>
    <w:p w14:paraId="1D94A9F3" w14:textId="77777777" w:rsidR="00172B77" w:rsidRDefault="00172B77" w:rsidP="00172B77">
      <w:pPr>
        <w:widowControl w:val="0"/>
        <w:autoSpaceDE w:val="0"/>
        <w:autoSpaceDN w:val="0"/>
        <w:adjustRightInd w:val="0"/>
        <w:ind w:left="2880" w:hanging="720"/>
      </w:pPr>
      <w:r>
        <w:t>B)</w:t>
      </w:r>
      <w:r>
        <w:tab/>
        <w:t xml:space="preserve">Identification of mass care facilities that are structurally sound, well retrofitted, or built to code, based on the knowledge of a structural engineer. </w:t>
      </w:r>
    </w:p>
    <w:p w14:paraId="6B487E1B" w14:textId="77777777" w:rsidR="00D37429" w:rsidRDefault="00D37429" w:rsidP="00790DB7">
      <w:pPr>
        <w:widowControl w:val="0"/>
        <w:autoSpaceDE w:val="0"/>
        <w:autoSpaceDN w:val="0"/>
        <w:adjustRightInd w:val="0"/>
      </w:pPr>
    </w:p>
    <w:p w14:paraId="571ABFCD" w14:textId="77777777" w:rsidR="00172B77" w:rsidRDefault="00172B77" w:rsidP="00172B77">
      <w:pPr>
        <w:widowControl w:val="0"/>
        <w:autoSpaceDE w:val="0"/>
        <w:autoSpaceDN w:val="0"/>
        <w:adjustRightInd w:val="0"/>
        <w:ind w:left="2880" w:hanging="720"/>
      </w:pPr>
      <w:r>
        <w:t>C)</w:t>
      </w:r>
      <w:r>
        <w:tab/>
        <w:t xml:space="preserve">A ranking of the mass care facilities based on the amount of earthquake resistance protection offered. </w:t>
      </w:r>
    </w:p>
    <w:p w14:paraId="383D0E30" w14:textId="77777777" w:rsidR="00D37429" w:rsidRDefault="00D37429" w:rsidP="00790DB7">
      <w:pPr>
        <w:widowControl w:val="0"/>
        <w:autoSpaceDE w:val="0"/>
        <w:autoSpaceDN w:val="0"/>
        <w:adjustRightInd w:val="0"/>
      </w:pPr>
    </w:p>
    <w:p w14:paraId="195624CD" w14:textId="77777777" w:rsidR="00172B77" w:rsidRDefault="00460F00" w:rsidP="00172B77">
      <w:pPr>
        <w:widowControl w:val="0"/>
        <w:autoSpaceDE w:val="0"/>
        <w:autoSpaceDN w:val="0"/>
        <w:adjustRightInd w:val="0"/>
        <w:ind w:left="1440" w:hanging="720"/>
      </w:pPr>
      <w:r>
        <w:t>e</w:t>
      </w:r>
      <w:r w:rsidR="00172B77">
        <w:t>)</w:t>
      </w:r>
      <w:r w:rsidR="00172B77">
        <w:tab/>
        <w:t xml:space="preserve">An ESDA may include additional Hazard Specific annexes </w:t>
      </w:r>
      <w:r>
        <w:t xml:space="preserve">for threats and hazards </w:t>
      </w:r>
      <w:r>
        <w:lastRenderedPageBreak/>
        <w:t>identified through the process set forth in Section 301.220</w:t>
      </w:r>
      <w:r w:rsidR="00172B77">
        <w:t xml:space="preserve">.  IEMA may require the ESDA to include additional Hazard Specific </w:t>
      </w:r>
      <w:r w:rsidR="00C67F3F">
        <w:t>annexes</w:t>
      </w:r>
      <w:r w:rsidR="00172B77">
        <w:t xml:space="preserve"> in the EOP, if IEMA determines that </w:t>
      </w:r>
      <w:r w:rsidR="003C32A5">
        <w:t xml:space="preserve">those </w:t>
      </w:r>
      <w:r w:rsidR="00C67F3F">
        <w:t>annexes are</w:t>
      </w:r>
      <w:r w:rsidR="00172B77">
        <w:t xml:space="preserve"> necessary preparation for protection of the public peace, health and safety in the event of a disaster. </w:t>
      </w:r>
    </w:p>
    <w:p w14:paraId="18CE8C64" w14:textId="77777777" w:rsidR="00460F00" w:rsidRDefault="00460F00" w:rsidP="00790DB7">
      <w:pPr>
        <w:widowControl w:val="0"/>
        <w:autoSpaceDE w:val="0"/>
        <w:autoSpaceDN w:val="0"/>
        <w:adjustRightInd w:val="0"/>
      </w:pPr>
    </w:p>
    <w:p w14:paraId="46EC897B" w14:textId="77777777" w:rsidR="00460F00" w:rsidRDefault="00460F00" w:rsidP="00172B77">
      <w:pPr>
        <w:widowControl w:val="0"/>
        <w:autoSpaceDE w:val="0"/>
        <w:autoSpaceDN w:val="0"/>
        <w:adjustRightInd w:val="0"/>
        <w:ind w:left="1440" w:hanging="720"/>
      </w:pPr>
      <w:r>
        <w:t xml:space="preserve">(Source:  Amended at 42 Ill. Reg. </w:t>
      </w:r>
      <w:r w:rsidR="00E43D21">
        <w:t>15933</w:t>
      </w:r>
      <w:r>
        <w:t xml:space="preserve">, effective </w:t>
      </w:r>
      <w:r w:rsidR="00E43D21">
        <w:t>July 31, 2018</w:t>
      </w:r>
      <w:r>
        <w:t>)</w:t>
      </w:r>
    </w:p>
    <w:sectPr w:rsidR="00460F00" w:rsidSect="00172B7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72B77"/>
    <w:rsid w:val="00064A11"/>
    <w:rsid w:val="000E2133"/>
    <w:rsid w:val="00172B77"/>
    <w:rsid w:val="002778C7"/>
    <w:rsid w:val="002A6DFD"/>
    <w:rsid w:val="003C32A5"/>
    <w:rsid w:val="00460F00"/>
    <w:rsid w:val="005C3366"/>
    <w:rsid w:val="006E3A68"/>
    <w:rsid w:val="00732C32"/>
    <w:rsid w:val="007503A6"/>
    <w:rsid w:val="00790DB7"/>
    <w:rsid w:val="007F0C92"/>
    <w:rsid w:val="00814F8B"/>
    <w:rsid w:val="009B459C"/>
    <w:rsid w:val="00AF3C41"/>
    <w:rsid w:val="00B65C7B"/>
    <w:rsid w:val="00C03A97"/>
    <w:rsid w:val="00C222F4"/>
    <w:rsid w:val="00C67F3F"/>
    <w:rsid w:val="00C77663"/>
    <w:rsid w:val="00D37429"/>
    <w:rsid w:val="00D6200E"/>
    <w:rsid w:val="00DC3009"/>
    <w:rsid w:val="00E35DB0"/>
    <w:rsid w:val="00E43D21"/>
    <w:rsid w:val="00EA61AD"/>
    <w:rsid w:val="00F43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2F09502"/>
  <w15:docId w15:val="{01C85A60-D2A6-4962-867C-7A7D49501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592</Words>
  <Characters>3377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Section 301</vt:lpstr>
    </vt:vector>
  </TitlesOfParts>
  <Company>State of Illinois</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301</dc:title>
  <dc:subject/>
  <dc:creator>Illinois General Assembly</dc:creator>
  <cp:keywords/>
  <dc:description/>
  <cp:lastModifiedBy>Shipley, Melissa A.</cp:lastModifiedBy>
  <cp:revision>5</cp:revision>
  <dcterms:created xsi:type="dcterms:W3CDTF">2018-08-09T16:24:00Z</dcterms:created>
  <dcterms:modified xsi:type="dcterms:W3CDTF">2025-02-25T16:25:00Z</dcterms:modified>
</cp:coreProperties>
</file>