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6A0" w:rsidRDefault="003D26A0" w:rsidP="003D26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26A0" w:rsidRDefault="003D26A0" w:rsidP="003D26A0">
      <w:pPr>
        <w:widowControl w:val="0"/>
        <w:autoSpaceDE w:val="0"/>
        <w:autoSpaceDN w:val="0"/>
        <w:adjustRightInd w:val="0"/>
      </w:pPr>
      <w:r>
        <w:t xml:space="preserve">AUTHORITY:  Implementing the Voting Accessibility for the Elderly and Handicapped Act (42 U.S.C. 1973ee) and authorized by Sections 1A-8(9) and 11-4.2 of the Election Code (Ill. Rev. Stat. 1985, ch. 46, pars. 1A-8(9) and 11-4.2). </w:t>
      </w:r>
    </w:p>
    <w:sectPr w:rsidR="003D26A0" w:rsidSect="003D26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26A0"/>
    <w:rsid w:val="002066EA"/>
    <w:rsid w:val="003D26A0"/>
    <w:rsid w:val="005C3366"/>
    <w:rsid w:val="006E182E"/>
    <w:rsid w:val="008B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Voting Accessibility for the Elderly and Handicapped Act (42 U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Voting Accessibility for the Elderly and Handicapped Act (42 U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