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18350" w14:textId="77777777" w:rsidR="00D73B26" w:rsidRDefault="00D73B26" w:rsidP="00D73B26">
      <w:pPr>
        <w:widowControl w:val="0"/>
        <w:autoSpaceDE w:val="0"/>
        <w:autoSpaceDN w:val="0"/>
        <w:adjustRightInd w:val="0"/>
      </w:pPr>
    </w:p>
    <w:p w14:paraId="75D74BE2" w14:textId="77777777" w:rsidR="00D73B26" w:rsidRDefault="00D73B26" w:rsidP="00D73B26">
      <w:pPr>
        <w:widowControl w:val="0"/>
        <w:autoSpaceDE w:val="0"/>
        <w:autoSpaceDN w:val="0"/>
        <w:adjustRightInd w:val="0"/>
      </w:pPr>
      <w:r>
        <w:rPr>
          <w:b/>
          <w:bCs/>
        </w:rPr>
        <w:t>Section 207.110  Requirements for Voter Information Tapes</w:t>
      </w:r>
      <w:r>
        <w:t xml:space="preserve"> </w:t>
      </w:r>
    </w:p>
    <w:p w14:paraId="5F87034D" w14:textId="77777777" w:rsidR="00D73B26" w:rsidRDefault="00D73B26" w:rsidP="00D73B26">
      <w:pPr>
        <w:widowControl w:val="0"/>
        <w:autoSpaceDE w:val="0"/>
        <w:autoSpaceDN w:val="0"/>
        <w:adjustRightInd w:val="0"/>
      </w:pPr>
    </w:p>
    <w:p w14:paraId="599697E2" w14:textId="40CAC807" w:rsidR="00D73B26" w:rsidRDefault="00D73B26" w:rsidP="00D73B26">
      <w:pPr>
        <w:widowControl w:val="0"/>
        <w:autoSpaceDE w:val="0"/>
        <w:autoSpaceDN w:val="0"/>
        <w:adjustRightInd w:val="0"/>
        <w:ind w:left="1440" w:hanging="720"/>
      </w:pPr>
      <w:r>
        <w:t>a)</w:t>
      </w:r>
      <w:r>
        <w:tab/>
        <w:t xml:space="preserve">This </w:t>
      </w:r>
      <w:r w:rsidR="008C63A8">
        <w:t>Section</w:t>
      </w:r>
      <w:r>
        <w:t xml:space="preserve"> implements Sections 4-8, 5-7, and 6-35 of the Election Code. </w:t>
      </w:r>
    </w:p>
    <w:p w14:paraId="014D9D0F" w14:textId="77777777" w:rsidR="007700FA" w:rsidRDefault="007700FA" w:rsidP="000E524D">
      <w:pPr>
        <w:widowControl w:val="0"/>
        <w:autoSpaceDE w:val="0"/>
        <w:autoSpaceDN w:val="0"/>
        <w:adjustRightInd w:val="0"/>
      </w:pPr>
    </w:p>
    <w:p w14:paraId="198F07C4" w14:textId="3E688ED5" w:rsidR="00D73B26" w:rsidRDefault="00D73B26" w:rsidP="00D73B26">
      <w:pPr>
        <w:widowControl w:val="0"/>
        <w:autoSpaceDE w:val="0"/>
        <w:autoSpaceDN w:val="0"/>
        <w:adjustRightInd w:val="0"/>
        <w:ind w:left="1440" w:hanging="720"/>
      </w:pPr>
      <w:r>
        <w:t>b)</w:t>
      </w:r>
      <w:r>
        <w:tab/>
      </w:r>
      <w:proofErr w:type="gramStart"/>
      <w:r>
        <w:t>Electronic</w:t>
      </w:r>
      <w:proofErr w:type="gramEnd"/>
      <w:r>
        <w:t xml:space="preserve"> data processing information containing voter registration information required to be furnished by election authorities to the State Board of Elections ("Board") shall be furnished in the format identified in Appendix B </w:t>
      </w:r>
      <w:r w:rsidR="00FA1490">
        <w:t>of</w:t>
      </w:r>
      <w:r>
        <w:t xml:space="preserve"> this Part.  The physical and logical data structure, as well as form, are part of the format. </w:t>
      </w:r>
    </w:p>
    <w:p w14:paraId="1F29B057" w14:textId="77777777" w:rsidR="007700FA" w:rsidRDefault="007700FA" w:rsidP="000E524D">
      <w:pPr>
        <w:widowControl w:val="0"/>
        <w:autoSpaceDE w:val="0"/>
        <w:autoSpaceDN w:val="0"/>
        <w:adjustRightInd w:val="0"/>
      </w:pPr>
    </w:p>
    <w:p w14:paraId="1D5EB92F" w14:textId="77777777" w:rsidR="00D73B26" w:rsidRDefault="00D73B26" w:rsidP="00D73B26">
      <w:pPr>
        <w:widowControl w:val="0"/>
        <w:autoSpaceDE w:val="0"/>
        <w:autoSpaceDN w:val="0"/>
        <w:adjustRightInd w:val="0"/>
        <w:ind w:left="1440" w:hanging="720"/>
      </w:pPr>
      <w:r>
        <w:t>c)</w:t>
      </w:r>
      <w:r>
        <w:tab/>
        <w:t xml:space="preserve">The following information must be furnished for all registered voters: </w:t>
      </w:r>
    </w:p>
    <w:p w14:paraId="55F30B6A" w14:textId="77777777" w:rsidR="007700FA" w:rsidRDefault="007700FA" w:rsidP="000E524D">
      <w:pPr>
        <w:widowControl w:val="0"/>
        <w:autoSpaceDE w:val="0"/>
        <w:autoSpaceDN w:val="0"/>
        <w:adjustRightInd w:val="0"/>
      </w:pPr>
    </w:p>
    <w:p w14:paraId="6809C0B4" w14:textId="77777777" w:rsidR="00D73B26" w:rsidRDefault="00D73B26" w:rsidP="00D73B26">
      <w:pPr>
        <w:widowControl w:val="0"/>
        <w:autoSpaceDE w:val="0"/>
        <w:autoSpaceDN w:val="0"/>
        <w:adjustRightInd w:val="0"/>
        <w:ind w:left="2160" w:hanging="720"/>
      </w:pPr>
      <w:r>
        <w:t>1)</w:t>
      </w:r>
      <w:r>
        <w:tab/>
        <w:t xml:space="preserve">name; </w:t>
      </w:r>
    </w:p>
    <w:p w14:paraId="59329DCB" w14:textId="77777777" w:rsidR="007700FA" w:rsidRDefault="007700FA" w:rsidP="000E524D">
      <w:pPr>
        <w:widowControl w:val="0"/>
        <w:autoSpaceDE w:val="0"/>
        <w:autoSpaceDN w:val="0"/>
        <w:adjustRightInd w:val="0"/>
      </w:pPr>
    </w:p>
    <w:p w14:paraId="05DC5DE0" w14:textId="77777777" w:rsidR="00D73B26" w:rsidRDefault="00D73B26" w:rsidP="00D73B26">
      <w:pPr>
        <w:widowControl w:val="0"/>
        <w:autoSpaceDE w:val="0"/>
        <w:autoSpaceDN w:val="0"/>
        <w:adjustRightInd w:val="0"/>
        <w:ind w:left="2160" w:hanging="720"/>
      </w:pPr>
      <w:r>
        <w:t>2)</w:t>
      </w:r>
      <w:r>
        <w:tab/>
        <w:t xml:space="preserve">residential address; </w:t>
      </w:r>
    </w:p>
    <w:p w14:paraId="720A07C7" w14:textId="77777777" w:rsidR="007700FA" w:rsidRDefault="007700FA" w:rsidP="000E524D">
      <w:pPr>
        <w:widowControl w:val="0"/>
        <w:autoSpaceDE w:val="0"/>
        <w:autoSpaceDN w:val="0"/>
        <w:adjustRightInd w:val="0"/>
      </w:pPr>
    </w:p>
    <w:p w14:paraId="05D96059" w14:textId="77777777" w:rsidR="00D73B26" w:rsidRDefault="00D73B26" w:rsidP="00D73B26">
      <w:pPr>
        <w:widowControl w:val="0"/>
        <w:autoSpaceDE w:val="0"/>
        <w:autoSpaceDN w:val="0"/>
        <w:adjustRightInd w:val="0"/>
        <w:ind w:left="2160" w:hanging="720"/>
      </w:pPr>
      <w:r>
        <w:t>3)</w:t>
      </w:r>
      <w:r>
        <w:tab/>
        <w:t xml:space="preserve">precinct; </w:t>
      </w:r>
    </w:p>
    <w:p w14:paraId="7F51DDF7" w14:textId="77777777" w:rsidR="007700FA" w:rsidRDefault="007700FA" w:rsidP="000E524D">
      <w:pPr>
        <w:widowControl w:val="0"/>
        <w:autoSpaceDE w:val="0"/>
        <w:autoSpaceDN w:val="0"/>
        <w:adjustRightInd w:val="0"/>
      </w:pPr>
    </w:p>
    <w:p w14:paraId="02BD504F" w14:textId="77777777" w:rsidR="00D73B26" w:rsidRDefault="00D73B26" w:rsidP="00D73B26">
      <w:pPr>
        <w:widowControl w:val="0"/>
        <w:autoSpaceDE w:val="0"/>
        <w:autoSpaceDN w:val="0"/>
        <w:adjustRightInd w:val="0"/>
        <w:ind w:left="2160" w:hanging="720"/>
      </w:pPr>
      <w:r>
        <w:t>4)</w:t>
      </w:r>
      <w:r>
        <w:tab/>
        <w:t xml:space="preserve">ward, if the voter's residence is in a ward; </w:t>
      </w:r>
    </w:p>
    <w:p w14:paraId="33BE98AD" w14:textId="77777777" w:rsidR="007700FA" w:rsidRDefault="007700FA" w:rsidP="000E524D">
      <w:pPr>
        <w:widowControl w:val="0"/>
        <w:autoSpaceDE w:val="0"/>
        <w:autoSpaceDN w:val="0"/>
        <w:adjustRightInd w:val="0"/>
      </w:pPr>
    </w:p>
    <w:p w14:paraId="31F4049C" w14:textId="77777777" w:rsidR="00D73B26" w:rsidRDefault="00D73B26" w:rsidP="00D73B26">
      <w:pPr>
        <w:widowControl w:val="0"/>
        <w:autoSpaceDE w:val="0"/>
        <w:autoSpaceDN w:val="0"/>
        <w:adjustRightInd w:val="0"/>
        <w:ind w:left="2160" w:hanging="720"/>
      </w:pPr>
      <w:r>
        <w:t>5)</w:t>
      </w:r>
      <w:r>
        <w:tab/>
        <w:t xml:space="preserve">township, if the voter's address is in a county under township organization; </w:t>
      </w:r>
    </w:p>
    <w:p w14:paraId="7961A464" w14:textId="77777777" w:rsidR="007700FA" w:rsidRDefault="007700FA" w:rsidP="000E524D">
      <w:pPr>
        <w:widowControl w:val="0"/>
        <w:autoSpaceDE w:val="0"/>
        <w:autoSpaceDN w:val="0"/>
        <w:adjustRightInd w:val="0"/>
      </w:pPr>
    </w:p>
    <w:p w14:paraId="31EC9AB9" w14:textId="77777777" w:rsidR="00D73B26" w:rsidRDefault="00D73B26" w:rsidP="00D73B26">
      <w:pPr>
        <w:widowControl w:val="0"/>
        <w:autoSpaceDE w:val="0"/>
        <w:autoSpaceDN w:val="0"/>
        <w:adjustRightInd w:val="0"/>
        <w:ind w:left="2160" w:hanging="720"/>
      </w:pPr>
      <w:r>
        <w:t>6)</w:t>
      </w:r>
      <w:r>
        <w:tab/>
        <w:t xml:space="preserve">county; </w:t>
      </w:r>
    </w:p>
    <w:p w14:paraId="5CF87190" w14:textId="77777777" w:rsidR="007700FA" w:rsidRDefault="007700FA" w:rsidP="000E524D">
      <w:pPr>
        <w:widowControl w:val="0"/>
        <w:autoSpaceDE w:val="0"/>
        <w:autoSpaceDN w:val="0"/>
        <w:adjustRightInd w:val="0"/>
      </w:pPr>
    </w:p>
    <w:p w14:paraId="422990A8" w14:textId="77777777" w:rsidR="00D73B26" w:rsidRDefault="00D73B26" w:rsidP="00D73B26">
      <w:pPr>
        <w:widowControl w:val="0"/>
        <w:autoSpaceDE w:val="0"/>
        <w:autoSpaceDN w:val="0"/>
        <w:adjustRightInd w:val="0"/>
        <w:ind w:left="2160" w:hanging="720"/>
      </w:pPr>
      <w:r>
        <w:t>7)</w:t>
      </w:r>
      <w:r>
        <w:tab/>
        <w:t xml:space="preserve">representative district; </w:t>
      </w:r>
    </w:p>
    <w:p w14:paraId="4F9F53B9" w14:textId="77777777" w:rsidR="007700FA" w:rsidRDefault="007700FA" w:rsidP="000E524D">
      <w:pPr>
        <w:widowControl w:val="0"/>
        <w:autoSpaceDE w:val="0"/>
        <w:autoSpaceDN w:val="0"/>
        <w:adjustRightInd w:val="0"/>
      </w:pPr>
    </w:p>
    <w:p w14:paraId="2E5BC01E" w14:textId="77777777" w:rsidR="00D73B26" w:rsidRDefault="00D73B26" w:rsidP="00D73B26">
      <w:pPr>
        <w:widowControl w:val="0"/>
        <w:autoSpaceDE w:val="0"/>
        <w:autoSpaceDN w:val="0"/>
        <w:adjustRightInd w:val="0"/>
        <w:ind w:left="2160" w:hanging="720"/>
      </w:pPr>
      <w:r>
        <w:t>8)</w:t>
      </w:r>
      <w:r>
        <w:tab/>
        <w:t xml:space="preserve">legislative district; and </w:t>
      </w:r>
    </w:p>
    <w:p w14:paraId="10E6058F" w14:textId="77777777" w:rsidR="007700FA" w:rsidRDefault="007700FA" w:rsidP="000E524D">
      <w:pPr>
        <w:widowControl w:val="0"/>
        <w:autoSpaceDE w:val="0"/>
        <w:autoSpaceDN w:val="0"/>
        <w:adjustRightInd w:val="0"/>
      </w:pPr>
    </w:p>
    <w:p w14:paraId="636FFD70" w14:textId="77777777" w:rsidR="00D73B26" w:rsidRDefault="00D73B26" w:rsidP="00D73B26">
      <w:pPr>
        <w:widowControl w:val="0"/>
        <w:autoSpaceDE w:val="0"/>
        <w:autoSpaceDN w:val="0"/>
        <w:adjustRightInd w:val="0"/>
        <w:ind w:left="2160" w:hanging="720"/>
      </w:pPr>
      <w:r>
        <w:t>9)</w:t>
      </w:r>
      <w:r>
        <w:tab/>
        <w:t xml:space="preserve">congressional district. </w:t>
      </w:r>
    </w:p>
    <w:p w14:paraId="5A5A9E42" w14:textId="77777777" w:rsidR="007700FA" w:rsidRDefault="007700FA" w:rsidP="000E524D">
      <w:pPr>
        <w:widowControl w:val="0"/>
        <w:autoSpaceDE w:val="0"/>
        <w:autoSpaceDN w:val="0"/>
        <w:adjustRightInd w:val="0"/>
      </w:pPr>
    </w:p>
    <w:p w14:paraId="61762B62" w14:textId="77777777" w:rsidR="00D73B26" w:rsidRDefault="00D73B26" w:rsidP="00D73B26">
      <w:pPr>
        <w:widowControl w:val="0"/>
        <w:autoSpaceDE w:val="0"/>
        <w:autoSpaceDN w:val="0"/>
        <w:adjustRightInd w:val="0"/>
        <w:ind w:left="1440" w:hanging="720"/>
      </w:pPr>
      <w:r>
        <w:t>d)</w:t>
      </w:r>
      <w:r>
        <w:tab/>
        <w:t xml:space="preserve">The following information must be furnished for all voters registered after July 1, 1988, and for all registered voters irrespective of the date of registration, if available: </w:t>
      </w:r>
    </w:p>
    <w:p w14:paraId="0D6B2D8A" w14:textId="77777777" w:rsidR="007700FA" w:rsidRDefault="007700FA" w:rsidP="000E524D">
      <w:pPr>
        <w:widowControl w:val="0"/>
        <w:autoSpaceDE w:val="0"/>
        <w:autoSpaceDN w:val="0"/>
        <w:adjustRightInd w:val="0"/>
      </w:pPr>
    </w:p>
    <w:p w14:paraId="63BEBFED" w14:textId="77777777" w:rsidR="00D73B26" w:rsidRDefault="00D73B26" w:rsidP="00D73B26">
      <w:pPr>
        <w:widowControl w:val="0"/>
        <w:autoSpaceDE w:val="0"/>
        <w:autoSpaceDN w:val="0"/>
        <w:adjustRightInd w:val="0"/>
        <w:ind w:left="2160" w:hanging="720"/>
      </w:pPr>
      <w:r>
        <w:t>1)</w:t>
      </w:r>
      <w:r>
        <w:tab/>
        <w:t xml:space="preserve">age; and </w:t>
      </w:r>
    </w:p>
    <w:p w14:paraId="27D5DB2A" w14:textId="77777777" w:rsidR="007700FA" w:rsidRDefault="007700FA" w:rsidP="000E524D">
      <w:pPr>
        <w:widowControl w:val="0"/>
        <w:autoSpaceDE w:val="0"/>
        <w:autoSpaceDN w:val="0"/>
        <w:adjustRightInd w:val="0"/>
      </w:pPr>
    </w:p>
    <w:p w14:paraId="52459B98" w14:textId="77777777" w:rsidR="00D73B26" w:rsidRDefault="00D73B26" w:rsidP="00D73B26">
      <w:pPr>
        <w:widowControl w:val="0"/>
        <w:autoSpaceDE w:val="0"/>
        <w:autoSpaceDN w:val="0"/>
        <w:adjustRightInd w:val="0"/>
        <w:ind w:left="2160" w:hanging="720"/>
      </w:pPr>
      <w:r>
        <w:t>2)</w:t>
      </w:r>
      <w:r>
        <w:tab/>
        <w:t xml:space="preserve">sex. </w:t>
      </w:r>
    </w:p>
    <w:p w14:paraId="536EFF0B" w14:textId="77777777" w:rsidR="007700FA" w:rsidRDefault="007700FA" w:rsidP="000E524D">
      <w:pPr>
        <w:widowControl w:val="0"/>
        <w:autoSpaceDE w:val="0"/>
        <w:autoSpaceDN w:val="0"/>
        <w:adjustRightInd w:val="0"/>
      </w:pPr>
    </w:p>
    <w:p w14:paraId="643B2741" w14:textId="77777777" w:rsidR="00D73B26" w:rsidRDefault="00D73B26" w:rsidP="00D73B26">
      <w:pPr>
        <w:widowControl w:val="0"/>
        <w:autoSpaceDE w:val="0"/>
        <w:autoSpaceDN w:val="0"/>
        <w:adjustRightInd w:val="0"/>
        <w:ind w:left="1440" w:hanging="720"/>
      </w:pPr>
      <w:r>
        <w:t>e)</w:t>
      </w:r>
      <w:r>
        <w:tab/>
        <w:t xml:space="preserve">Telephone numbers must be furnished for a voter registered after May 1, 1990, and for all registered voters, irrespective of date of registration, if available. </w:t>
      </w:r>
    </w:p>
    <w:p w14:paraId="4C5DD5C9" w14:textId="77777777" w:rsidR="007700FA" w:rsidRDefault="007700FA" w:rsidP="000E524D">
      <w:pPr>
        <w:widowControl w:val="0"/>
        <w:autoSpaceDE w:val="0"/>
        <w:autoSpaceDN w:val="0"/>
        <w:adjustRightInd w:val="0"/>
      </w:pPr>
    </w:p>
    <w:p w14:paraId="46DF4C72" w14:textId="4C3C567F" w:rsidR="00D73B26" w:rsidRDefault="00D73B26" w:rsidP="00D73B26">
      <w:pPr>
        <w:widowControl w:val="0"/>
        <w:autoSpaceDE w:val="0"/>
        <w:autoSpaceDN w:val="0"/>
        <w:adjustRightInd w:val="0"/>
        <w:ind w:left="1440" w:hanging="720"/>
      </w:pPr>
      <w:r>
        <w:t>f)</w:t>
      </w:r>
      <w:r>
        <w:tab/>
        <w:t xml:space="preserve">Voter affiliation with an established political party, as such party is defined by Section 7-2 of the Election Code, shall, after December 1990, be furnished for all registered voters who affiliate with an established political party and choose that party's ballot at a general primary election or consolidated primary election.  Party affiliation shall be cumulatively reported for a period beginning four years prior to </w:t>
      </w:r>
      <w:r>
        <w:lastRenderedPageBreak/>
        <w:t xml:space="preserve">the closing date for the reporting period, to the extent such affiliation data is available.  From December 1990 forward, all election jurisdictions shall maintain voter party affiliation data for a </w:t>
      </w:r>
      <w:r w:rsidR="008C63A8">
        <w:t>four-year</w:t>
      </w:r>
      <w:r>
        <w:t xml:space="preserve"> period. </w:t>
      </w:r>
    </w:p>
    <w:p w14:paraId="7F8495BD" w14:textId="77777777" w:rsidR="007700FA" w:rsidRDefault="007700FA" w:rsidP="000E524D">
      <w:pPr>
        <w:widowControl w:val="0"/>
        <w:autoSpaceDE w:val="0"/>
        <w:autoSpaceDN w:val="0"/>
        <w:adjustRightInd w:val="0"/>
      </w:pPr>
    </w:p>
    <w:p w14:paraId="1C717C2F" w14:textId="77777777" w:rsidR="00D73B26" w:rsidRDefault="00D73B26" w:rsidP="00D73B26">
      <w:pPr>
        <w:widowControl w:val="0"/>
        <w:autoSpaceDE w:val="0"/>
        <w:autoSpaceDN w:val="0"/>
        <w:adjustRightInd w:val="0"/>
        <w:ind w:left="1440" w:hanging="720"/>
      </w:pPr>
      <w:r>
        <w:t>g)</w:t>
      </w:r>
      <w:r>
        <w:tab/>
        <w:t xml:space="preserve">Election authorities may, but need not, also furnish the registration date, physical impairment indicator, naturalization indicator, social security number, driver's license number, and voting history for elections other than primary elections, for registered voters in the respective jurisdictions. </w:t>
      </w:r>
    </w:p>
    <w:p w14:paraId="48B5C8C0" w14:textId="77777777" w:rsidR="007700FA" w:rsidRDefault="007700FA" w:rsidP="000E524D">
      <w:pPr>
        <w:widowControl w:val="0"/>
        <w:autoSpaceDE w:val="0"/>
        <w:autoSpaceDN w:val="0"/>
        <w:adjustRightInd w:val="0"/>
      </w:pPr>
    </w:p>
    <w:p w14:paraId="00E35801" w14:textId="440474BB" w:rsidR="00D73B26" w:rsidRDefault="00D73B26" w:rsidP="00D73B26">
      <w:pPr>
        <w:widowControl w:val="0"/>
        <w:autoSpaceDE w:val="0"/>
        <w:autoSpaceDN w:val="0"/>
        <w:adjustRightInd w:val="0"/>
        <w:ind w:left="1440" w:hanging="720"/>
      </w:pPr>
      <w:r>
        <w:t>h)</w:t>
      </w:r>
      <w:r>
        <w:tab/>
        <w:t xml:space="preserve">The Board reviews voter registration data </w:t>
      </w:r>
      <w:r w:rsidR="008C63A8">
        <w:t>submissions</w:t>
      </w:r>
      <w:r>
        <w:t xml:space="preserve"> furnished by election authorities pursuant to the Election Code and this </w:t>
      </w:r>
      <w:r w:rsidR="00FA1490">
        <w:t>Section</w:t>
      </w:r>
      <w:r>
        <w:t xml:space="preserve"> for compliance with the statute and rule.  If the submission is compliant with respect to contents and format, the submission will be accepted as of date of receipt by the Board.  If the submission is noncompliant, it will be rejected and returned to the submitting election authority. </w:t>
      </w:r>
    </w:p>
    <w:p w14:paraId="2CB3C135" w14:textId="77777777" w:rsidR="007700FA" w:rsidRDefault="007700FA" w:rsidP="000E524D">
      <w:pPr>
        <w:widowControl w:val="0"/>
        <w:autoSpaceDE w:val="0"/>
        <w:autoSpaceDN w:val="0"/>
        <w:adjustRightInd w:val="0"/>
      </w:pPr>
    </w:p>
    <w:p w14:paraId="0707D37E" w14:textId="562E62D8" w:rsidR="00D73B26" w:rsidRDefault="00D73B26" w:rsidP="00D73B26">
      <w:pPr>
        <w:widowControl w:val="0"/>
        <w:autoSpaceDE w:val="0"/>
        <w:autoSpaceDN w:val="0"/>
        <w:adjustRightInd w:val="0"/>
        <w:ind w:left="1440" w:hanging="720"/>
      </w:pPr>
      <w:proofErr w:type="spellStart"/>
      <w:r>
        <w:t>i</w:t>
      </w:r>
      <w:proofErr w:type="spellEnd"/>
      <w:r>
        <w:t>)</w:t>
      </w:r>
      <w:r>
        <w:tab/>
        <w:t xml:space="preserve">When a submission of voter registration data is determined to be noncompliant, the Board will notify the submitting election authority by first-class certified mail, return receipt requested.  The Board will identify the reasons for rejection.  </w:t>
      </w:r>
      <w:r w:rsidR="008C63A8">
        <w:t>The</w:t>
      </w:r>
      <w:r>
        <w:t xml:space="preserve"> election authority shall have 10 days from the date of receipt of notice of noncompliance, or until the last date allowed by statute for data submission, whichever is later, to furnish a compliant data submission.  An election authority may request, within the same time allowed for furnishing a compliant data submission, an extension of time in which to furnish a compliant submission.  </w:t>
      </w:r>
      <w:r w:rsidR="00FA1490">
        <w:t>A</w:t>
      </w:r>
      <w:r>
        <w:t xml:space="preserve"> request for </w:t>
      </w:r>
      <w:r w:rsidR="008C63A8">
        <w:t xml:space="preserve">an </w:t>
      </w:r>
      <w:r>
        <w:t xml:space="preserve">extension must be in writing, and will be routinely granted for an additional </w:t>
      </w:r>
      <w:r w:rsidR="008C63A8">
        <w:t>20-day</w:t>
      </w:r>
      <w:r>
        <w:t xml:space="preserve"> period. </w:t>
      </w:r>
    </w:p>
    <w:p w14:paraId="52494175" w14:textId="77777777" w:rsidR="007700FA" w:rsidRDefault="007700FA" w:rsidP="000E524D">
      <w:pPr>
        <w:widowControl w:val="0"/>
        <w:autoSpaceDE w:val="0"/>
        <w:autoSpaceDN w:val="0"/>
        <w:adjustRightInd w:val="0"/>
      </w:pPr>
    </w:p>
    <w:p w14:paraId="5F60FBEF" w14:textId="3CB28BA5" w:rsidR="00D73B26" w:rsidRDefault="00D73B26" w:rsidP="00D73B26">
      <w:pPr>
        <w:widowControl w:val="0"/>
        <w:autoSpaceDE w:val="0"/>
        <w:autoSpaceDN w:val="0"/>
        <w:adjustRightInd w:val="0"/>
        <w:ind w:left="1440" w:hanging="720"/>
      </w:pPr>
      <w:r>
        <w:t>j)</w:t>
      </w:r>
      <w:r>
        <w:tab/>
        <w:t xml:space="preserve">Data submission must be within the times specified by statute.  An election authority </w:t>
      </w:r>
      <w:r w:rsidR="008C63A8">
        <w:t>that</w:t>
      </w:r>
      <w:r>
        <w:t xml:space="preserve"> knows it cannot comply with a statutory data submission deadline because of the absence of key personnel or computer malfunction will be granted an additional 20 days beyond the deadline in which to comply, </w:t>
      </w:r>
      <w:r w:rsidR="008C63A8">
        <w:t>if</w:t>
      </w:r>
      <w:r>
        <w:t xml:space="preserve"> before the deadline the Board receives the election authority's written request for an extension, citing the grounds for the request.  The Board </w:t>
      </w:r>
      <w:r w:rsidR="008C63A8">
        <w:t>will</w:t>
      </w:r>
      <w:r>
        <w:t xml:space="preserve"> notify each election authority </w:t>
      </w:r>
      <w:r w:rsidR="008C63A8">
        <w:t>that</w:t>
      </w:r>
      <w:r>
        <w:t xml:space="preserve"> fails to make data submission within the time prescribed by statute of its failure to make a timely submission.  </w:t>
      </w:r>
      <w:r w:rsidR="00FA1490">
        <w:t>Notice</w:t>
      </w:r>
      <w:r>
        <w:t xml:space="preserve"> shall be in writing, by first-class mail</w:t>
      </w:r>
      <w:r w:rsidR="008C63A8">
        <w:t>,</w:t>
      </w:r>
      <w:r>
        <w:t xml:space="preserve"> and sent within 10 business days after the data submission is due.  The Board will refer to the Illinois Attorney General for compliance enforcement each election authority </w:t>
      </w:r>
      <w:r w:rsidR="008C63A8">
        <w:t>that</w:t>
      </w:r>
      <w:r>
        <w:t xml:space="preserve"> has not made a timely and compliant submission within 15 days after the submission was due, including any extensions. </w:t>
      </w:r>
    </w:p>
    <w:p w14:paraId="26ADDA7D" w14:textId="77777777" w:rsidR="007700FA" w:rsidRDefault="007700FA" w:rsidP="000E524D">
      <w:pPr>
        <w:widowControl w:val="0"/>
        <w:autoSpaceDE w:val="0"/>
        <w:autoSpaceDN w:val="0"/>
        <w:adjustRightInd w:val="0"/>
      </w:pPr>
    </w:p>
    <w:p w14:paraId="76A3BF01" w14:textId="77777777" w:rsidR="00D73B26" w:rsidRDefault="00D73B26" w:rsidP="00D73B26">
      <w:pPr>
        <w:widowControl w:val="0"/>
        <w:autoSpaceDE w:val="0"/>
        <w:autoSpaceDN w:val="0"/>
        <w:adjustRightInd w:val="0"/>
        <w:ind w:left="1440" w:hanging="720"/>
      </w:pPr>
      <w:r>
        <w:t>k)</w:t>
      </w:r>
      <w:r>
        <w:tab/>
        <w:t xml:space="preserve">Reimbursement will be made at the rates prescribed by statute only once for each semi-annual reporting period and only for compliant data submission. When multiple submissions are required by a Board determination of noncompliance, the election authority will be reimbursed for only the final and compliant submission. </w:t>
      </w:r>
    </w:p>
    <w:p w14:paraId="02E38227" w14:textId="77777777" w:rsidR="007700FA" w:rsidRDefault="007700FA" w:rsidP="000E524D">
      <w:pPr>
        <w:widowControl w:val="0"/>
        <w:autoSpaceDE w:val="0"/>
        <w:autoSpaceDN w:val="0"/>
        <w:adjustRightInd w:val="0"/>
      </w:pPr>
    </w:p>
    <w:p w14:paraId="69FFA98C" w14:textId="6707CCBC" w:rsidR="00D73B26" w:rsidRDefault="00D73B26" w:rsidP="00D73B26">
      <w:pPr>
        <w:widowControl w:val="0"/>
        <w:autoSpaceDE w:val="0"/>
        <w:autoSpaceDN w:val="0"/>
        <w:adjustRightInd w:val="0"/>
        <w:ind w:left="1440" w:hanging="720"/>
      </w:pPr>
      <w:r>
        <w:lastRenderedPageBreak/>
        <w:t>l)</w:t>
      </w:r>
      <w:r>
        <w:tab/>
        <w:t xml:space="preserve">Dissemination of data submissions will be to those authorized by statute to purchase them, at the rate of </w:t>
      </w:r>
      <w:r w:rsidR="00E50C13">
        <w:t>$60 plus $15</w:t>
      </w:r>
      <w:r>
        <w:t xml:space="preserve"> for each 150,000 voter files or portion of 150,000 voter files, payable in advance.  Each eligible purchaser must, in addition, furnish to the Board blank magnetic tape reels sufficient to transfer the voter registration data requested.  Payment must be made from the funds of the eligible purchasers, and not from the funds of third parties on behalf of the eligible purchaser.  Money orders, cashier's checks, </w:t>
      </w:r>
      <w:r w:rsidR="008C63A8">
        <w:t xml:space="preserve">or </w:t>
      </w:r>
      <w:r>
        <w:t xml:space="preserve">treasurer's checks purchased by an eligible purchaser for the purpose of funds transmission are deemed to be the funds of the eligible purchaser. </w:t>
      </w:r>
      <w:r w:rsidR="008C63A8" w:rsidRPr="008C63A8">
        <w:t>The Board will accept payment made by cash, credit card, money order, cashier</w:t>
      </w:r>
      <w:r w:rsidR="00FF34D8">
        <w:t>'</w:t>
      </w:r>
      <w:r w:rsidR="008C63A8" w:rsidRPr="008C63A8">
        <w:t>s check, treasurer</w:t>
      </w:r>
      <w:r w:rsidR="00FF34D8">
        <w:t>'</w:t>
      </w:r>
      <w:r w:rsidR="008C63A8" w:rsidRPr="008C63A8">
        <w:t>s check, or Automated Clearing House transfer. Personal checks will not be accepted. The purchaser is responsible for the payment of any fees associated with the chosen payment method.</w:t>
      </w:r>
    </w:p>
    <w:p w14:paraId="64988AAA" w14:textId="77777777" w:rsidR="00FF34D8" w:rsidRDefault="00FF34D8" w:rsidP="000E524D">
      <w:pPr>
        <w:widowControl w:val="0"/>
        <w:autoSpaceDE w:val="0"/>
        <w:autoSpaceDN w:val="0"/>
        <w:adjustRightInd w:val="0"/>
      </w:pPr>
    </w:p>
    <w:p w14:paraId="10184671" w14:textId="01D156FA" w:rsidR="00D73B26" w:rsidRDefault="008C63A8" w:rsidP="00D73B26">
      <w:pPr>
        <w:widowControl w:val="0"/>
        <w:autoSpaceDE w:val="0"/>
        <w:autoSpaceDN w:val="0"/>
        <w:adjustRightInd w:val="0"/>
        <w:ind w:left="1440" w:hanging="720"/>
      </w:pPr>
      <w:r w:rsidRPr="004E27CF">
        <w:t xml:space="preserve">(Source:  Amended at </w:t>
      </w:r>
      <w:r w:rsidR="004A182B">
        <w:t>50</w:t>
      </w:r>
      <w:r w:rsidRPr="004E27CF">
        <w:t xml:space="preserve"> Ill. Reg. </w:t>
      </w:r>
      <w:r w:rsidR="00DA203A">
        <w:t>5198</w:t>
      </w:r>
      <w:r w:rsidRPr="004E27CF">
        <w:t xml:space="preserve">, effective </w:t>
      </w:r>
      <w:r w:rsidR="00DA203A">
        <w:t>March 27, 2026</w:t>
      </w:r>
      <w:r w:rsidRPr="004E27CF">
        <w:t>)</w:t>
      </w:r>
    </w:p>
    <w:sectPr w:rsidR="00D73B26" w:rsidSect="00D73B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73B26"/>
    <w:rsid w:val="000E524D"/>
    <w:rsid w:val="004A182B"/>
    <w:rsid w:val="005C3366"/>
    <w:rsid w:val="00707A37"/>
    <w:rsid w:val="007700FA"/>
    <w:rsid w:val="008C63A8"/>
    <w:rsid w:val="009B3626"/>
    <w:rsid w:val="00A41AEB"/>
    <w:rsid w:val="00D73B26"/>
    <w:rsid w:val="00DA203A"/>
    <w:rsid w:val="00DC2F6A"/>
    <w:rsid w:val="00E50C13"/>
    <w:rsid w:val="00E72F60"/>
    <w:rsid w:val="00FA1490"/>
    <w:rsid w:val="00FF3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1C252D5"/>
  <w15:docId w15:val="{CFB944EA-A4D7-40E6-9339-42BB3822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207</vt:lpstr>
    </vt:vector>
  </TitlesOfParts>
  <Company>state of illinois</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dc:title>
  <dc:subject/>
  <dc:creator>Illinois General Assembly</dc:creator>
  <cp:keywords/>
  <dc:description/>
  <cp:lastModifiedBy>Shipley, Melissa A.</cp:lastModifiedBy>
  <cp:revision>4</cp:revision>
  <dcterms:created xsi:type="dcterms:W3CDTF">2026-02-19T19:35:00Z</dcterms:created>
  <dcterms:modified xsi:type="dcterms:W3CDTF">2026-04-10T13:16:00Z</dcterms:modified>
</cp:coreProperties>
</file>