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68" w:rsidRDefault="00935D68" w:rsidP="00935D6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3300.10</w:t>
      </w:r>
      <w:r>
        <w:tab/>
        <w:t xml:space="preserve">Responsibility for Preservation of Artifacts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3300.20</w:t>
      </w:r>
      <w:r>
        <w:tab/>
        <w:t xml:space="preserve">Loan Policy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3300.30</w:t>
      </w:r>
      <w:r>
        <w:tab/>
        <w:t xml:space="preserve">Loan Conditions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3300.40</w:t>
      </w:r>
      <w:r>
        <w:tab/>
        <w:t xml:space="preserve">Display Standards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3300.50</w:t>
      </w:r>
      <w:r>
        <w:tab/>
        <w:t xml:space="preserve">Artifact Reproduction Conditions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3300.60</w:t>
      </w:r>
      <w:r>
        <w:tab/>
        <w:t xml:space="preserve">Insurance Requirements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3300.70</w:t>
      </w:r>
      <w:r>
        <w:tab/>
        <w:t xml:space="preserve">Transportation Requirements </w:t>
      </w:r>
    </w:p>
    <w:p w:rsidR="00935D68" w:rsidRDefault="00935D68" w:rsidP="00935D68">
      <w:pPr>
        <w:widowControl w:val="0"/>
        <w:autoSpaceDE w:val="0"/>
        <w:autoSpaceDN w:val="0"/>
        <w:adjustRightInd w:val="0"/>
        <w:ind w:left="1440" w:hanging="1440"/>
      </w:pPr>
      <w:r>
        <w:t>3300.80</w:t>
      </w:r>
      <w:r>
        <w:tab/>
        <w:t xml:space="preserve">Security of Artifacts </w:t>
      </w:r>
    </w:p>
    <w:sectPr w:rsidR="00935D68" w:rsidSect="00935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D68"/>
    <w:rsid w:val="0028420B"/>
    <w:rsid w:val="008F2787"/>
    <w:rsid w:val="00935D68"/>
    <w:rsid w:val="00B56B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