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92D44" w14:textId="77777777" w:rsidR="00BB3875" w:rsidRDefault="00BB3875" w:rsidP="000F68AD">
      <w:pPr>
        <w:autoSpaceDE w:val="0"/>
        <w:autoSpaceDN w:val="0"/>
        <w:rPr>
          <w:b/>
          <w:bCs/>
          <w:color w:val="000000"/>
          <w:szCs w:val="24"/>
        </w:rPr>
      </w:pPr>
    </w:p>
    <w:p w14:paraId="445A5F32" w14:textId="6BA2D6C2" w:rsidR="000F68AD" w:rsidRPr="003379FA" w:rsidRDefault="002C3EBF" w:rsidP="000F68AD">
      <w:pPr>
        <w:autoSpaceDE w:val="0"/>
        <w:autoSpaceDN w:val="0"/>
        <w:rPr>
          <w:color w:val="000000"/>
          <w:sz w:val="22"/>
          <w:szCs w:val="22"/>
        </w:rPr>
      </w:pPr>
      <w:r>
        <w:rPr>
          <w:b/>
          <w:bCs/>
          <w:color w:val="000000"/>
          <w:szCs w:val="24"/>
        </w:rPr>
        <w:t>Section 3035.</w:t>
      </w:r>
      <w:r w:rsidR="00BB3875">
        <w:rPr>
          <w:b/>
          <w:bCs/>
          <w:color w:val="000000"/>
          <w:szCs w:val="24"/>
        </w:rPr>
        <w:t xml:space="preserve">140  </w:t>
      </w:r>
      <w:r w:rsidR="000F68AD" w:rsidRPr="003379FA">
        <w:rPr>
          <w:b/>
          <w:bCs/>
          <w:color w:val="000000"/>
          <w:szCs w:val="24"/>
        </w:rPr>
        <w:t>Grants, Expenditures</w:t>
      </w:r>
      <w:r w:rsidR="008E724B">
        <w:rPr>
          <w:b/>
          <w:bCs/>
          <w:color w:val="000000"/>
          <w:szCs w:val="24"/>
        </w:rPr>
        <w:t>,</w:t>
      </w:r>
      <w:r w:rsidR="000F68AD" w:rsidRPr="003379FA">
        <w:rPr>
          <w:b/>
          <w:bCs/>
          <w:color w:val="000000"/>
          <w:szCs w:val="24"/>
        </w:rPr>
        <w:t xml:space="preserve"> and Audits</w:t>
      </w:r>
    </w:p>
    <w:p w14:paraId="5A02E4AB" w14:textId="77777777" w:rsidR="000F68AD" w:rsidRPr="003379FA" w:rsidRDefault="000F68AD" w:rsidP="000F68AD">
      <w:pPr>
        <w:autoSpaceDE w:val="0"/>
        <w:autoSpaceDN w:val="0"/>
        <w:rPr>
          <w:color w:val="000000"/>
          <w:sz w:val="22"/>
          <w:szCs w:val="22"/>
        </w:rPr>
      </w:pPr>
    </w:p>
    <w:p w14:paraId="3C0B565A" w14:textId="77777777" w:rsidR="000F68AD" w:rsidRPr="003379FA" w:rsidRDefault="000F68AD" w:rsidP="000F68AD">
      <w:pPr>
        <w:autoSpaceDE w:val="0"/>
        <w:autoSpaceDN w:val="0"/>
        <w:ind w:left="1440" w:hanging="720"/>
        <w:rPr>
          <w:color w:val="000000"/>
          <w:szCs w:val="24"/>
        </w:rPr>
      </w:pPr>
      <w:r w:rsidRPr="003379FA">
        <w:rPr>
          <w:color w:val="000000"/>
          <w:szCs w:val="24"/>
        </w:rPr>
        <w:t>a)</w:t>
      </w:r>
      <w:r w:rsidR="00BB3875">
        <w:rPr>
          <w:color w:val="000000"/>
          <w:szCs w:val="24"/>
        </w:rPr>
        <w:tab/>
      </w:r>
      <w:r w:rsidRPr="003379FA">
        <w:rPr>
          <w:color w:val="000000"/>
          <w:szCs w:val="24"/>
        </w:rPr>
        <w:t>The Illinois State Library staff s</w:t>
      </w:r>
      <w:r w:rsidR="00BB3875">
        <w:rPr>
          <w:color w:val="000000"/>
          <w:szCs w:val="24"/>
        </w:rPr>
        <w:t xml:space="preserve">hall review grant applications. </w:t>
      </w:r>
      <w:r w:rsidRPr="003379FA">
        <w:rPr>
          <w:color w:val="000000"/>
          <w:szCs w:val="24"/>
        </w:rPr>
        <w:t xml:space="preserve"> Additional qualified reviewers may be selected by the Director of the Illinois State Library as needed. </w:t>
      </w:r>
      <w:r w:rsidRPr="00BB3875">
        <w:rPr>
          <w:szCs w:val="24"/>
        </w:rPr>
        <w:t>If a grant reviewer has an application in competition or a conflict of interest during a review cycle, that grant reviewer shall not serve on the related review committee during that cycle.</w:t>
      </w:r>
      <w:r w:rsidRPr="003379FA">
        <w:rPr>
          <w:szCs w:val="24"/>
        </w:rPr>
        <w:t xml:space="preserve"> </w:t>
      </w:r>
      <w:r w:rsidR="00BB3875">
        <w:rPr>
          <w:color w:val="000000"/>
          <w:szCs w:val="24"/>
        </w:rPr>
        <w:t xml:space="preserve"> </w:t>
      </w:r>
      <w:r w:rsidRPr="003379FA">
        <w:rPr>
          <w:color w:val="000000"/>
          <w:szCs w:val="24"/>
        </w:rPr>
        <w:t xml:space="preserve">The decision of the State Librarian is final. </w:t>
      </w:r>
    </w:p>
    <w:p w14:paraId="19FC998F" w14:textId="77777777" w:rsidR="000F68AD" w:rsidRPr="003379FA" w:rsidRDefault="000F68AD" w:rsidP="000F68AD">
      <w:pPr>
        <w:autoSpaceDE w:val="0"/>
        <w:autoSpaceDN w:val="0"/>
        <w:rPr>
          <w:color w:val="000000"/>
          <w:sz w:val="22"/>
          <w:szCs w:val="22"/>
        </w:rPr>
      </w:pPr>
    </w:p>
    <w:p w14:paraId="0A9BB4C8" w14:textId="77777777" w:rsidR="000F68AD" w:rsidRDefault="000F68AD" w:rsidP="000F68AD">
      <w:pPr>
        <w:autoSpaceDE w:val="0"/>
        <w:autoSpaceDN w:val="0"/>
        <w:ind w:left="1440" w:hanging="720"/>
        <w:rPr>
          <w:color w:val="000000"/>
          <w:szCs w:val="24"/>
        </w:rPr>
      </w:pPr>
      <w:r w:rsidRPr="003379FA">
        <w:rPr>
          <w:color w:val="000000"/>
          <w:szCs w:val="24"/>
        </w:rPr>
        <w:t>b)</w:t>
      </w:r>
      <w:r w:rsidR="00BB3875">
        <w:rPr>
          <w:color w:val="000000"/>
          <w:szCs w:val="24"/>
        </w:rPr>
        <w:tab/>
      </w:r>
      <w:r w:rsidRPr="003379FA">
        <w:rPr>
          <w:color w:val="000000"/>
          <w:szCs w:val="24"/>
        </w:rPr>
        <w:t>The Illinois State Library will notify the submitting agency when the application is approved for contractual purposes.</w:t>
      </w:r>
      <w:r w:rsidR="00BB3875">
        <w:rPr>
          <w:color w:val="000000"/>
          <w:szCs w:val="24"/>
        </w:rPr>
        <w:t xml:space="preserve">  As stipulated by </w:t>
      </w:r>
      <w:r w:rsidR="001B16C8">
        <w:rPr>
          <w:color w:val="000000"/>
          <w:szCs w:val="24"/>
        </w:rPr>
        <w:t xml:space="preserve">the grant </w:t>
      </w:r>
      <w:r w:rsidR="00BB3875">
        <w:rPr>
          <w:color w:val="000000"/>
          <w:szCs w:val="24"/>
        </w:rPr>
        <w:t>agreement, the following reports will be completed and transmitted to the Illinois State Library:</w:t>
      </w:r>
    </w:p>
    <w:p w14:paraId="1273081E" w14:textId="77777777" w:rsidR="00BB3875" w:rsidRDefault="00BB3875" w:rsidP="001A63E3">
      <w:pPr>
        <w:autoSpaceDE w:val="0"/>
        <w:autoSpaceDN w:val="0"/>
        <w:rPr>
          <w:color w:val="000000"/>
          <w:szCs w:val="24"/>
        </w:rPr>
      </w:pPr>
    </w:p>
    <w:p w14:paraId="620B27DC" w14:textId="77777777" w:rsidR="00BB3875" w:rsidRPr="00F408E8" w:rsidRDefault="00BB3875" w:rsidP="00BB3875">
      <w:pPr>
        <w:autoSpaceDE w:val="0"/>
        <w:autoSpaceDN w:val="0"/>
        <w:ind w:left="2160" w:hanging="720"/>
        <w:rPr>
          <w:color w:val="000000"/>
          <w:szCs w:val="24"/>
        </w:rPr>
      </w:pPr>
      <w:r w:rsidRPr="00F408E8">
        <w:rPr>
          <w:color w:val="000000"/>
          <w:szCs w:val="24"/>
        </w:rPr>
        <w:t>1)</w:t>
      </w:r>
      <w:r w:rsidRPr="00F408E8">
        <w:rPr>
          <w:color w:val="000000"/>
          <w:szCs w:val="24"/>
        </w:rPr>
        <w:tab/>
        <w:t>Quarterly narrative and financial reports showing expenditures made from grant funds by line item.</w:t>
      </w:r>
    </w:p>
    <w:p w14:paraId="61050F44" w14:textId="77777777" w:rsidR="00BB3875" w:rsidRPr="00F408E8" w:rsidRDefault="00BB3875" w:rsidP="001A63E3">
      <w:pPr>
        <w:autoSpaceDE w:val="0"/>
        <w:autoSpaceDN w:val="0"/>
        <w:rPr>
          <w:color w:val="000000"/>
          <w:szCs w:val="24"/>
        </w:rPr>
      </w:pPr>
    </w:p>
    <w:p w14:paraId="1A279692" w14:textId="77777777" w:rsidR="00BB3875" w:rsidRPr="00F408E8" w:rsidRDefault="00BB3875" w:rsidP="00BB3875">
      <w:pPr>
        <w:autoSpaceDE w:val="0"/>
        <w:autoSpaceDN w:val="0"/>
        <w:ind w:left="2160" w:hanging="720"/>
        <w:rPr>
          <w:color w:val="000000"/>
          <w:szCs w:val="24"/>
        </w:rPr>
      </w:pPr>
      <w:r w:rsidRPr="00F408E8">
        <w:rPr>
          <w:color w:val="000000"/>
          <w:szCs w:val="24"/>
        </w:rPr>
        <w:t>2)</w:t>
      </w:r>
      <w:r w:rsidRPr="00F408E8">
        <w:rPr>
          <w:color w:val="000000"/>
          <w:szCs w:val="24"/>
        </w:rPr>
        <w:tab/>
        <w:t>Final narrative and financial reports evaluating the degree to which the grantee achieved the goals and objectives of the project.</w:t>
      </w:r>
    </w:p>
    <w:p w14:paraId="7BC823F8" w14:textId="77777777" w:rsidR="000F68AD" w:rsidRPr="003379FA" w:rsidRDefault="000F68AD" w:rsidP="000F68AD">
      <w:pPr>
        <w:autoSpaceDE w:val="0"/>
        <w:autoSpaceDN w:val="0"/>
        <w:rPr>
          <w:color w:val="000000"/>
          <w:sz w:val="22"/>
          <w:szCs w:val="22"/>
        </w:rPr>
      </w:pPr>
    </w:p>
    <w:p w14:paraId="4818E57E" w14:textId="7DC4DB58" w:rsidR="000F68AD" w:rsidRPr="003379FA" w:rsidRDefault="000F68AD" w:rsidP="000F68AD">
      <w:pPr>
        <w:autoSpaceDE w:val="0"/>
        <w:autoSpaceDN w:val="0"/>
        <w:ind w:left="1440" w:hanging="720"/>
        <w:rPr>
          <w:color w:val="000000"/>
          <w:sz w:val="22"/>
          <w:szCs w:val="22"/>
        </w:rPr>
      </w:pPr>
      <w:r w:rsidRPr="003379FA">
        <w:rPr>
          <w:color w:val="000000"/>
          <w:szCs w:val="24"/>
        </w:rPr>
        <w:t>c)</w:t>
      </w:r>
      <w:r w:rsidR="00BB3875">
        <w:rPr>
          <w:color w:val="000000"/>
          <w:szCs w:val="24"/>
        </w:rPr>
        <w:tab/>
      </w:r>
      <w:r w:rsidRPr="003379FA">
        <w:rPr>
          <w:color w:val="000000"/>
          <w:szCs w:val="24"/>
        </w:rPr>
        <w:t>Changes in the project budget of over 10 percent of the grant award shall have prior approval in writing from the Illinois State Library.</w:t>
      </w:r>
      <w:r w:rsidR="00BB3875">
        <w:rPr>
          <w:color w:val="000000"/>
          <w:szCs w:val="24"/>
        </w:rPr>
        <w:t xml:space="preserve"> </w:t>
      </w:r>
      <w:r w:rsidRPr="003379FA">
        <w:rPr>
          <w:color w:val="000000"/>
          <w:szCs w:val="24"/>
        </w:rPr>
        <w:t xml:space="preserve"> Recipients of the Public Library Per Capita and Equalization Aid Grants, the School </w:t>
      </w:r>
      <w:r w:rsidR="00A71E56">
        <w:rPr>
          <w:color w:val="000000"/>
          <w:szCs w:val="24"/>
        </w:rPr>
        <w:t>District Library</w:t>
      </w:r>
      <w:r w:rsidRPr="003379FA">
        <w:rPr>
          <w:color w:val="000000"/>
          <w:szCs w:val="24"/>
        </w:rPr>
        <w:t xml:space="preserve"> Grant, and Public Library Construction Grant shall follow the requirements in Sections 3035.115, 3035.120, 3035.450(b)(2)(H) and 3035.540(h), respectively.</w:t>
      </w:r>
    </w:p>
    <w:p w14:paraId="7E28EB1C" w14:textId="77777777" w:rsidR="000F68AD" w:rsidRPr="003379FA" w:rsidRDefault="000F68AD" w:rsidP="000F68AD">
      <w:pPr>
        <w:autoSpaceDE w:val="0"/>
        <w:autoSpaceDN w:val="0"/>
        <w:rPr>
          <w:color w:val="000000"/>
          <w:sz w:val="22"/>
          <w:szCs w:val="22"/>
        </w:rPr>
      </w:pPr>
    </w:p>
    <w:p w14:paraId="02D0974C" w14:textId="77777777" w:rsidR="000F68AD" w:rsidRPr="003379FA" w:rsidRDefault="000F68AD" w:rsidP="000F68AD">
      <w:pPr>
        <w:autoSpaceDE w:val="0"/>
        <w:autoSpaceDN w:val="0"/>
        <w:ind w:left="1440" w:hanging="720"/>
        <w:rPr>
          <w:color w:val="000000"/>
          <w:sz w:val="22"/>
          <w:szCs w:val="22"/>
        </w:rPr>
      </w:pPr>
      <w:r w:rsidRPr="003379FA">
        <w:rPr>
          <w:color w:val="000000"/>
          <w:szCs w:val="24"/>
        </w:rPr>
        <w:t>d)</w:t>
      </w:r>
      <w:r w:rsidR="00BB3875">
        <w:rPr>
          <w:color w:val="000000"/>
          <w:szCs w:val="24"/>
        </w:rPr>
        <w:tab/>
      </w:r>
      <w:r w:rsidRPr="003379FA">
        <w:rPr>
          <w:color w:val="000000"/>
          <w:szCs w:val="24"/>
        </w:rPr>
        <w:t xml:space="preserve">Failure to spend funds in accordance with the application or approved amendment and the reporting procedures stipulated in this Part shall result in ineligibility for future grants for a period of one year. </w:t>
      </w:r>
    </w:p>
    <w:p w14:paraId="243FD425" w14:textId="3FBA5247" w:rsidR="009D453E" w:rsidRDefault="009D453E" w:rsidP="000F68AD">
      <w:pPr>
        <w:autoSpaceDE w:val="0"/>
        <w:autoSpaceDN w:val="0"/>
        <w:rPr>
          <w:color w:val="000000"/>
          <w:sz w:val="22"/>
          <w:szCs w:val="22"/>
        </w:rPr>
      </w:pPr>
    </w:p>
    <w:p w14:paraId="68E55BC1" w14:textId="4F81BE4C" w:rsidR="009D453E" w:rsidRPr="002D5019" w:rsidRDefault="009D453E" w:rsidP="009D453E">
      <w:pPr>
        <w:ind w:left="1440" w:hanging="720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</w:r>
      <w:r w:rsidR="00635FB3">
        <w:rPr>
          <w:color w:val="000000"/>
        </w:rPr>
        <w:t>Pursuant to 75 ILCS 10/3, f</w:t>
      </w:r>
      <w:r w:rsidRPr="00CA41E9">
        <w:rPr>
          <w:color w:val="000000"/>
        </w:rPr>
        <w:t>ailure to maintain and abide by the American Library Association</w:t>
      </w:r>
      <w:r>
        <w:rPr>
          <w:color w:val="000000"/>
        </w:rPr>
        <w:t>'</w:t>
      </w:r>
      <w:r w:rsidRPr="00CA41E9">
        <w:rPr>
          <w:color w:val="000000"/>
        </w:rPr>
        <w:t>s Library Bill of Rights that indicates materials should not be proscribed or removed because of partisan or doctrinal disapproval or the applicant</w:t>
      </w:r>
      <w:r w:rsidR="008E724B">
        <w:rPr>
          <w:color w:val="000000"/>
        </w:rPr>
        <w:t>'</w:t>
      </w:r>
      <w:r w:rsidRPr="00CA41E9">
        <w:rPr>
          <w:color w:val="000000"/>
        </w:rPr>
        <w:t>s/grantee</w:t>
      </w:r>
      <w:r w:rsidR="008E724B">
        <w:rPr>
          <w:color w:val="000000"/>
        </w:rPr>
        <w:t>'</w:t>
      </w:r>
      <w:r w:rsidRPr="00CA41E9">
        <w:rPr>
          <w:color w:val="000000"/>
        </w:rPr>
        <w:t xml:space="preserve">s written policy or procedure declaring the inherent authority of the applicant to include a prohibition of the practice of banning specific books or resources, </w:t>
      </w:r>
      <w:r w:rsidR="00635FB3">
        <w:rPr>
          <w:color w:val="000000"/>
        </w:rPr>
        <w:t xml:space="preserve">will </w:t>
      </w:r>
      <w:r w:rsidRPr="00CA41E9">
        <w:rPr>
          <w:color w:val="000000"/>
        </w:rPr>
        <w:t xml:space="preserve">result in revocation of the grant award pursuant to the Grant Funds Recovery Act </w:t>
      </w:r>
      <w:r w:rsidR="008E724B">
        <w:rPr>
          <w:color w:val="000000"/>
        </w:rPr>
        <w:t>[</w:t>
      </w:r>
      <w:r w:rsidRPr="00CA41E9">
        <w:rPr>
          <w:color w:val="000000"/>
        </w:rPr>
        <w:t>30 ILCS 705</w:t>
      </w:r>
      <w:r w:rsidR="008E724B">
        <w:rPr>
          <w:color w:val="000000"/>
        </w:rPr>
        <w:t>]</w:t>
      </w:r>
      <w:r w:rsidRPr="00CA41E9">
        <w:rPr>
          <w:color w:val="000000"/>
        </w:rPr>
        <w:t>.</w:t>
      </w:r>
    </w:p>
    <w:p w14:paraId="69F34887" w14:textId="77777777" w:rsidR="009D453E" w:rsidRPr="003379FA" w:rsidRDefault="009D453E" w:rsidP="000F68AD">
      <w:pPr>
        <w:autoSpaceDE w:val="0"/>
        <w:autoSpaceDN w:val="0"/>
        <w:rPr>
          <w:color w:val="000000"/>
          <w:sz w:val="22"/>
          <w:szCs w:val="22"/>
        </w:rPr>
      </w:pPr>
    </w:p>
    <w:p w14:paraId="654AFE5A" w14:textId="3C51E7D7" w:rsidR="000F68AD" w:rsidRPr="003379FA" w:rsidRDefault="009D453E" w:rsidP="000F68AD">
      <w:pPr>
        <w:autoSpaceDE w:val="0"/>
        <w:autoSpaceDN w:val="0"/>
        <w:ind w:left="1440" w:hanging="720"/>
        <w:rPr>
          <w:color w:val="000000"/>
          <w:sz w:val="22"/>
          <w:szCs w:val="22"/>
        </w:rPr>
      </w:pPr>
      <w:r>
        <w:rPr>
          <w:color w:val="000000"/>
          <w:szCs w:val="24"/>
        </w:rPr>
        <w:t>f</w:t>
      </w:r>
      <w:r w:rsidR="000F68AD" w:rsidRPr="003379FA">
        <w:rPr>
          <w:color w:val="000000"/>
          <w:szCs w:val="24"/>
        </w:rPr>
        <w:t>)</w:t>
      </w:r>
      <w:r w:rsidR="00BB3875">
        <w:rPr>
          <w:color w:val="000000"/>
          <w:szCs w:val="24"/>
        </w:rPr>
        <w:tab/>
      </w:r>
      <w:r w:rsidR="000F68AD" w:rsidRPr="003379FA">
        <w:rPr>
          <w:color w:val="000000"/>
          <w:szCs w:val="24"/>
        </w:rPr>
        <w:t xml:space="preserve">All grantees receiving grants under Subparts A, B, D, E, F and G </w:t>
      </w:r>
      <w:r w:rsidR="00635FB3">
        <w:rPr>
          <w:color w:val="000000"/>
          <w:szCs w:val="24"/>
        </w:rPr>
        <w:t>with</w:t>
      </w:r>
      <w:r w:rsidR="000F68AD" w:rsidRPr="003379FA">
        <w:rPr>
          <w:color w:val="000000"/>
          <w:szCs w:val="24"/>
        </w:rPr>
        <w:t xml:space="preserve"> a combined cumulative total of $175,000 or more in </w:t>
      </w:r>
      <w:r w:rsidR="00635FB3">
        <w:rPr>
          <w:color w:val="000000"/>
          <w:szCs w:val="24"/>
        </w:rPr>
        <w:t>these</w:t>
      </w:r>
      <w:r w:rsidR="000F68AD" w:rsidRPr="003379FA">
        <w:rPr>
          <w:color w:val="000000"/>
          <w:szCs w:val="24"/>
        </w:rPr>
        <w:t xml:space="preserve"> grant awards in the same fiscal year shall submit an </w:t>
      </w:r>
      <w:r w:rsidR="00635FB3">
        <w:rPr>
          <w:color w:val="000000"/>
          <w:szCs w:val="24"/>
        </w:rPr>
        <w:t>agencywide</w:t>
      </w:r>
      <w:r w:rsidR="000F68AD" w:rsidRPr="003379FA">
        <w:rPr>
          <w:color w:val="000000"/>
          <w:szCs w:val="24"/>
        </w:rPr>
        <w:t xml:space="preserve"> audit upon completion of the grant activity.</w:t>
      </w:r>
    </w:p>
    <w:p w14:paraId="090CBD48" w14:textId="77777777" w:rsidR="000F68AD" w:rsidRPr="003379FA" w:rsidRDefault="000F68AD" w:rsidP="001A63E3">
      <w:pPr>
        <w:autoSpaceDE w:val="0"/>
        <w:autoSpaceDN w:val="0"/>
        <w:rPr>
          <w:color w:val="000000"/>
          <w:sz w:val="22"/>
          <w:szCs w:val="22"/>
        </w:rPr>
      </w:pPr>
    </w:p>
    <w:p w14:paraId="48C62CED" w14:textId="3E3B476A" w:rsidR="000F68AD" w:rsidRPr="003379FA" w:rsidRDefault="000F68AD" w:rsidP="000F68AD">
      <w:pPr>
        <w:autoSpaceDE w:val="0"/>
        <w:autoSpaceDN w:val="0"/>
        <w:ind w:left="2160" w:hanging="720"/>
        <w:rPr>
          <w:color w:val="000000"/>
          <w:sz w:val="22"/>
          <w:szCs w:val="22"/>
        </w:rPr>
      </w:pPr>
      <w:r w:rsidRPr="003379FA">
        <w:rPr>
          <w:color w:val="000000"/>
          <w:szCs w:val="24"/>
        </w:rPr>
        <w:t>1)</w:t>
      </w:r>
      <w:r w:rsidR="00BB3875">
        <w:rPr>
          <w:color w:val="000000"/>
          <w:szCs w:val="24"/>
        </w:rPr>
        <w:tab/>
      </w:r>
      <w:r w:rsidRPr="003379FA">
        <w:rPr>
          <w:color w:val="000000"/>
          <w:szCs w:val="24"/>
        </w:rPr>
        <w:t>All governmental unit audits shall comply with Government Auditing Standards</w:t>
      </w:r>
      <w:r w:rsidR="00866E99">
        <w:rPr>
          <w:color w:val="000000"/>
          <w:szCs w:val="24"/>
        </w:rPr>
        <w:t xml:space="preserve"> (also known as "GAGAS" or the "Yellow Book") (2018 Revision)</w:t>
      </w:r>
      <w:r w:rsidRPr="003379FA">
        <w:rPr>
          <w:color w:val="000000"/>
          <w:szCs w:val="24"/>
        </w:rPr>
        <w:t xml:space="preserve">, published by the Comptroller General of the United States, Government Accountability Office, 441 G. Street, NW, Washington DC </w:t>
      </w:r>
      <w:r w:rsidR="00B14DA7">
        <w:rPr>
          <w:color w:val="000000"/>
          <w:szCs w:val="24"/>
        </w:rPr>
        <w:t xml:space="preserve"> </w:t>
      </w:r>
      <w:r w:rsidRPr="003379FA">
        <w:rPr>
          <w:color w:val="000000"/>
          <w:szCs w:val="24"/>
        </w:rPr>
        <w:t>20548</w:t>
      </w:r>
      <w:r w:rsidR="00866E99">
        <w:rPr>
          <w:color w:val="000000"/>
          <w:szCs w:val="24"/>
        </w:rPr>
        <w:t xml:space="preserve"> (http://</w:t>
      </w:r>
      <w:r w:rsidR="009B74FE">
        <w:rPr>
          <w:color w:val="000000"/>
          <w:szCs w:val="24"/>
        </w:rPr>
        <w:t>w</w:t>
      </w:r>
      <w:r w:rsidR="00866E99">
        <w:rPr>
          <w:color w:val="000000"/>
          <w:szCs w:val="24"/>
        </w:rPr>
        <w:t>ww.gao.gov/yellowbook)</w:t>
      </w:r>
      <w:r w:rsidRPr="003379FA">
        <w:rPr>
          <w:color w:val="000000"/>
          <w:szCs w:val="24"/>
        </w:rPr>
        <w:t>.</w:t>
      </w:r>
      <w:r w:rsidR="002865F3">
        <w:rPr>
          <w:color w:val="000000"/>
          <w:szCs w:val="24"/>
        </w:rPr>
        <w:t xml:space="preserve">  </w:t>
      </w:r>
      <w:r w:rsidRPr="003379FA">
        <w:rPr>
          <w:color w:val="000000"/>
          <w:szCs w:val="24"/>
        </w:rPr>
        <w:t>No later amendments to these standards are incorporated in this Section.</w:t>
      </w:r>
    </w:p>
    <w:p w14:paraId="75B65BA8" w14:textId="77777777" w:rsidR="000F68AD" w:rsidRPr="003379FA" w:rsidRDefault="000F68AD" w:rsidP="001A63E3">
      <w:pPr>
        <w:autoSpaceDE w:val="0"/>
        <w:autoSpaceDN w:val="0"/>
        <w:rPr>
          <w:color w:val="000000"/>
          <w:sz w:val="22"/>
          <w:szCs w:val="22"/>
        </w:rPr>
      </w:pPr>
    </w:p>
    <w:p w14:paraId="6FE73AE2" w14:textId="2FD930DC" w:rsidR="000F68AD" w:rsidRPr="003379FA" w:rsidRDefault="000F68AD" w:rsidP="000F68AD">
      <w:pPr>
        <w:autoSpaceDE w:val="0"/>
        <w:autoSpaceDN w:val="0"/>
        <w:ind w:left="2160" w:hanging="720"/>
        <w:rPr>
          <w:color w:val="000000"/>
          <w:sz w:val="22"/>
          <w:szCs w:val="22"/>
        </w:rPr>
      </w:pPr>
      <w:r w:rsidRPr="003379FA">
        <w:rPr>
          <w:color w:val="000000"/>
          <w:szCs w:val="24"/>
        </w:rPr>
        <w:t>2)</w:t>
      </w:r>
      <w:r w:rsidR="00BB3875">
        <w:rPr>
          <w:color w:val="000000"/>
          <w:szCs w:val="24"/>
        </w:rPr>
        <w:tab/>
      </w:r>
      <w:r w:rsidRPr="003379FA">
        <w:rPr>
          <w:color w:val="000000"/>
          <w:szCs w:val="24"/>
        </w:rPr>
        <w:t xml:space="preserve">All not-for-profit agency audits will comply with </w:t>
      </w:r>
      <w:r w:rsidR="0067382C">
        <w:rPr>
          <w:color w:val="000000"/>
          <w:szCs w:val="24"/>
        </w:rPr>
        <w:t xml:space="preserve">“2023 </w:t>
      </w:r>
      <w:r w:rsidRPr="003379FA">
        <w:rPr>
          <w:color w:val="000000"/>
          <w:szCs w:val="24"/>
        </w:rPr>
        <w:t>Not-for-Profit Entities Audit and Accounting Guide</w:t>
      </w:r>
      <w:r w:rsidR="0067382C">
        <w:rPr>
          <w:color w:val="000000"/>
          <w:szCs w:val="24"/>
        </w:rPr>
        <w:t>”</w:t>
      </w:r>
      <w:r w:rsidRPr="003379FA">
        <w:rPr>
          <w:color w:val="000000"/>
          <w:szCs w:val="24"/>
        </w:rPr>
        <w:t xml:space="preserve">, published by the American Institute of Certified Public Accountants, </w:t>
      </w:r>
      <w:r w:rsidR="00866E99">
        <w:rPr>
          <w:color w:val="000000"/>
          <w:szCs w:val="24"/>
        </w:rPr>
        <w:t>1345</w:t>
      </w:r>
      <w:r w:rsidRPr="003379FA">
        <w:rPr>
          <w:color w:val="000000"/>
          <w:szCs w:val="24"/>
        </w:rPr>
        <w:t xml:space="preserve"> Avenue of th</w:t>
      </w:r>
      <w:r w:rsidR="00866E99">
        <w:rPr>
          <w:color w:val="000000"/>
          <w:szCs w:val="24"/>
        </w:rPr>
        <w:t>e Americas, 27</w:t>
      </w:r>
      <w:r w:rsidR="00866E99" w:rsidRPr="00866E99">
        <w:rPr>
          <w:color w:val="000000"/>
          <w:szCs w:val="24"/>
          <w:vertAlign w:val="superscript"/>
        </w:rPr>
        <w:t>th</w:t>
      </w:r>
      <w:r w:rsidR="00866E99">
        <w:rPr>
          <w:color w:val="000000"/>
          <w:szCs w:val="24"/>
          <w:vertAlign w:val="superscript"/>
        </w:rPr>
        <w:t xml:space="preserve"> </w:t>
      </w:r>
      <w:r w:rsidR="00866E99">
        <w:rPr>
          <w:color w:val="000000"/>
          <w:szCs w:val="24"/>
        </w:rPr>
        <w:t>Floor, New York NY</w:t>
      </w:r>
      <w:r w:rsidR="00B14DA7">
        <w:rPr>
          <w:color w:val="000000"/>
          <w:szCs w:val="24"/>
        </w:rPr>
        <w:t xml:space="preserve"> </w:t>
      </w:r>
      <w:r w:rsidR="002865F3">
        <w:rPr>
          <w:color w:val="000000"/>
          <w:szCs w:val="24"/>
        </w:rPr>
        <w:t xml:space="preserve"> </w:t>
      </w:r>
      <w:r w:rsidR="00866E99">
        <w:rPr>
          <w:color w:val="000000"/>
          <w:szCs w:val="24"/>
        </w:rPr>
        <w:t>10105 (</w:t>
      </w:r>
      <w:r w:rsidR="00BA686F" w:rsidRPr="00BA686F">
        <w:t>AICPA &amp; CIMA (aicpa-cima.com)</w:t>
      </w:r>
      <w:r w:rsidR="00866E99">
        <w:rPr>
          <w:color w:val="000000"/>
          <w:szCs w:val="24"/>
        </w:rPr>
        <w:t>)</w:t>
      </w:r>
      <w:r w:rsidR="002865F3">
        <w:rPr>
          <w:color w:val="000000"/>
          <w:szCs w:val="24"/>
        </w:rPr>
        <w:t xml:space="preserve">.  </w:t>
      </w:r>
      <w:r w:rsidRPr="003379FA">
        <w:rPr>
          <w:color w:val="000000"/>
          <w:szCs w:val="24"/>
        </w:rPr>
        <w:t>No later amendments to these standards are incorporated in this Section.</w:t>
      </w:r>
    </w:p>
    <w:p w14:paraId="14CADDE0" w14:textId="77777777" w:rsidR="000F68AD" w:rsidRPr="003379FA" w:rsidRDefault="000F68AD" w:rsidP="001A63E3">
      <w:pPr>
        <w:autoSpaceDE w:val="0"/>
        <w:autoSpaceDN w:val="0"/>
        <w:rPr>
          <w:color w:val="000000"/>
          <w:sz w:val="22"/>
          <w:szCs w:val="22"/>
        </w:rPr>
      </w:pPr>
    </w:p>
    <w:p w14:paraId="45AE91E6" w14:textId="33A4310A" w:rsidR="000F68AD" w:rsidRPr="003379FA" w:rsidRDefault="009D453E" w:rsidP="000F68AD">
      <w:pPr>
        <w:autoSpaceDE w:val="0"/>
        <w:autoSpaceDN w:val="0"/>
        <w:ind w:left="1440" w:hanging="720"/>
        <w:rPr>
          <w:color w:val="000000"/>
          <w:sz w:val="22"/>
          <w:szCs w:val="22"/>
        </w:rPr>
      </w:pPr>
      <w:r>
        <w:rPr>
          <w:color w:val="000000"/>
          <w:szCs w:val="24"/>
        </w:rPr>
        <w:t>g</w:t>
      </w:r>
      <w:r w:rsidR="000F68AD" w:rsidRPr="003379FA">
        <w:rPr>
          <w:color w:val="000000"/>
          <w:szCs w:val="24"/>
        </w:rPr>
        <w:t>)</w:t>
      </w:r>
      <w:r w:rsidR="00BB3875">
        <w:rPr>
          <w:color w:val="000000"/>
          <w:szCs w:val="24"/>
        </w:rPr>
        <w:tab/>
      </w:r>
      <w:r w:rsidR="000F68AD" w:rsidRPr="003379FA">
        <w:rPr>
          <w:color w:val="000000"/>
          <w:szCs w:val="24"/>
        </w:rPr>
        <w:t>The Illinois State Library may request additional information and data from any governmental unit, not-for-profit agency, public corporation</w:t>
      </w:r>
      <w:r w:rsidR="008E724B">
        <w:rPr>
          <w:color w:val="000000"/>
          <w:szCs w:val="24"/>
        </w:rPr>
        <w:t>,</w:t>
      </w:r>
      <w:r w:rsidR="000F68AD" w:rsidRPr="003379FA">
        <w:rPr>
          <w:color w:val="000000"/>
          <w:szCs w:val="24"/>
        </w:rPr>
        <w:t xml:space="preserve"> or other entity submitting a grant application.</w:t>
      </w:r>
    </w:p>
    <w:p w14:paraId="551FEEE2" w14:textId="77777777" w:rsidR="000174EB" w:rsidRDefault="000174EB" w:rsidP="00093935"/>
    <w:p w14:paraId="451C3522" w14:textId="1958CFB3" w:rsidR="00BB3875" w:rsidRPr="00093935" w:rsidRDefault="009D453E" w:rsidP="00384AD9">
      <w:pPr>
        <w:ind w:left="720"/>
      </w:pPr>
      <w:r w:rsidRPr="00524821">
        <w:t>(Source:  Amended at 4</w:t>
      </w:r>
      <w:r w:rsidR="00514A50">
        <w:t>8</w:t>
      </w:r>
      <w:r w:rsidRPr="00524821">
        <w:t xml:space="preserve"> Ill. Reg. </w:t>
      </w:r>
      <w:r w:rsidR="00DE5677">
        <w:t>948</w:t>
      </w:r>
      <w:r w:rsidRPr="00524821">
        <w:t xml:space="preserve">, effective </w:t>
      </w:r>
      <w:r w:rsidR="00DE5677">
        <w:t>January 1, 2024</w:t>
      </w:r>
      <w:r w:rsidRPr="00524821">
        <w:t>)</w:t>
      </w:r>
    </w:p>
    <w:sectPr w:rsidR="00BB387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69024" w14:textId="77777777" w:rsidR="0043128E" w:rsidRDefault="0043128E">
      <w:r>
        <w:separator/>
      </w:r>
    </w:p>
  </w:endnote>
  <w:endnote w:type="continuationSeparator" w:id="0">
    <w:p w14:paraId="6ECE29CA" w14:textId="77777777" w:rsidR="0043128E" w:rsidRDefault="0043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3BCE" w14:textId="77777777" w:rsidR="0043128E" w:rsidRDefault="0043128E">
      <w:r>
        <w:separator/>
      </w:r>
    </w:p>
  </w:footnote>
  <w:footnote w:type="continuationSeparator" w:id="0">
    <w:p w14:paraId="19DF7CC7" w14:textId="77777777" w:rsidR="0043128E" w:rsidRDefault="00431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8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081"/>
    <w:rsid w:val="000F68AD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3E3"/>
    <w:rsid w:val="001A6EDB"/>
    <w:rsid w:val="001B16C8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65F3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EBF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0CF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4AD9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28E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A50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7DC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5FB3"/>
    <w:rsid w:val="006361A4"/>
    <w:rsid w:val="00641AEA"/>
    <w:rsid w:val="0064660E"/>
    <w:rsid w:val="00647E1C"/>
    <w:rsid w:val="00651FF5"/>
    <w:rsid w:val="00666006"/>
    <w:rsid w:val="00670B89"/>
    <w:rsid w:val="00672EE7"/>
    <w:rsid w:val="0067382C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C27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6E99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724B"/>
    <w:rsid w:val="008F2BEE"/>
    <w:rsid w:val="008F3E3B"/>
    <w:rsid w:val="009053C8"/>
    <w:rsid w:val="00910413"/>
    <w:rsid w:val="009134C8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1EAF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DD7"/>
    <w:rsid w:val="009B45F6"/>
    <w:rsid w:val="009B6ECA"/>
    <w:rsid w:val="009B72DC"/>
    <w:rsid w:val="009B74FE"/>
    <w:rsid w:val="009C1181"/>
    <w:rsid w:val="009C1A93"/>
    <w:rsid w:val="009C2829"/>
    <w:rsid w:val="009C5170"/>
    <w:rsid w:val="009C69DD"/>
    <w:rsid w:val="009C75D6"/>
    <w:rsid w:val="009C7CA2"/>
    <w:rsid w:val="009D219C"/>
    <w:rsid w:val="009D453E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317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1E56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DA7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86F"/>
    <w:rsid w:val="00BB0A4F"/>
    <w:rsid w:val="00BB230E"/>
    <w:rsid w:val="00BB3875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3DF5"/>
    <w:rsid w:val="00DC505C"/>
    <w:rsid w:val="00DC5FDC"/>
    <w:rsid w:val="00DC7214"/>
    <w:rsid w:val="00DD3C9D"/>
    <w:rsid w:val="00DE3439"/>
    <w:rsid w:val="00DE42D9"/>
    <w:rsid w:val="00DE5010"/>
    <w:rsid w:val="00DE5677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8E8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AB9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091268"/>
  <w15:chartTrackingRefBased/>
  <w15:docId w15:val="{458AD7A3-F198-496D-9698-F66AB177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68A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2023-12-18T21:26:00Z</dcterms:created>
  <dcterms:modified xsi:type="dcterms:W3CDTF">2024-01-12T18:39:00Z</dcterms:modified>
</cp:coreProperties>
</file>