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3B" w:rsidRDefault="00531F3B" w:rsidP="00531F3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31F3B" w:rsidRDefault="00531F3B" w:rsidP="00531F3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3030.135  Withdrawal of Membership</w:t>
      </w:r>
      <w:r>
        <w:t xml:space="preserve"> </w:t>
      </w:r>
    </w:p>
    <w:p w:rsidR="00531F3B" w:rsidRDefault="00531F3B" w:rsidP="00531F3B">
      <w:pPr>
        <w:widowControl w:val="0"/>
        <w:autoSpaceDE w:val="0"/>
        <w:autoSpaceDN w:val="0"/>
        <w:adjustRightInd w:val="0"/>
      </w:pPr>
    </w:p>
    <w:p w:rsidR="00531F3B" w:rsidRDefault="00531F3B" w:rsidP="00531F3B">
      <w:pPr>
        <w:widowControl w:val="0"/>
        <w:autoSpaceDE w:val="0"/>
        <w:autoSpaceDN w:val="0"/>
        <w:adjustRightInd w:val="0"/>
      </w:pPr>
      <w:r>
        <w:t xml:space="preserve">Within sixty (60) days from withdrawal of membership from a library system, all materials and equipment purchased with library system headquarters funds and on deposit at such library shall be returned to the system administrative headquarters. </w:t>
      </w:r>
    </w:p>
    <w:p w:rsidR="00531F3B" w:rsidRDefault="00531F3B" w:rsidP="00531F3B">
      <w:pPr>
        <w:widowControl w:val="0"/>
        <w:autoSpaceDE w:val="0"/>
        <w:autoSpaceDN w:val="0"/>
        <w:adjustRightInd w:val="0"/>
      </w:pPr>
    </w:p>
    <w:p w:rsidR="00531F3B" w:rsidRDefault="00531F3B" w:rsidP="00531F3B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Renumbered from 3030.125 at 18 Ill. Reg. 7452, effective May 3, 1994) </w:t>
      </w:r>
    </w:p>
    <w:sectPr w:rsidR="00531F3B" w:rsidSect="00531F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1F3B"/>
    <w:rsid w:val="001949F1"/>
    <w:rsid w:val="00531F3B"/>
    <w:rsid w:val="005C3366"/>
    <w:rsid w:val="00A61D27"/>
    <w:rsid w:val="00EA4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2012-06-22T01:34:00Z</dcterms:created>
  <dcterms:modified xsi:type="dcterms:W3CDTF">2012-06-22T01:34:00Z</dcterms:modified>
</cp:coreProperties>
</file>