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7C1" w:rsidRDefault="00A867C1" w:rsidP="00832A48">
      <w:pPr>
        <w:rPr>
          <w:b/>
          <w:bCs/>
        </w:rPr>
      </w:pPr>
      <w:bookmarkStart w:id="0" w:name="_GoBack"/>
      <w:bookmarkEnd w:id="0"/>
    </w:p>
    <w:p w:rsidR="00A867C1" w:rsidRDefault="00A867C1" w:rsidP="00832A48">
      <w:pPr>
        <w:rPr>
          <w:b/>
          <w:bCs/>
        </w:rPr>
      </w:pPr>
      <w:r>
        <w:rPr>
          <w:b/>
          <w:bCs/>
        </w:rPr>
        <w:t>Section 2768.10  Summary and Purpose</w:t>
      </w:r>
    </w:p>
    <w:p w:rsidR="00A867C1" w:rsidRPr="00A867C1" w:rsidRDefault="00A867C1" w:rsidP="00832A48"/>
    <w:p w:rsidR="00A867C1" w:rsidRDefault="00A867C1" w:rsidP="00832A48">
      <w:pPr>
        <w:ind w:left="1440" w:hanging="720"/>
      </w:pPr>
      <w:r>
        <w:t>a)</w:t>
      </w:r>
      <w:r>
        <w:tab/>
        <w:t xml:space="preserve">The Teach Illinois Scholarship program encourages </w:t>
      </w:r>
      <w:r>
        <w:rPr>
          <w:shd w:val="clear" w:color="auto" w:fill="FFFFFF"/>
        </w:rPr>
        <w:t>students to become teachers at</w:t>
      </w:r>
      <w:r>
        <w:t xml:space="preserve"> elementary and secondary schools that have identified staff shortages, as determined by the </w:t>
      </w:r>
      <w:r>
        <w:rPr>
          <w:shd w:val="clear" w:color="auto" w:fill="FFFFFF"/>
        </w:rPr>
        <w:t xml:space="preserve">Illinois </w:t>
      </w:r>
      <w:r>
        <w:t>State Board of Education.</w:t>
      </w:r>
    </w:p>
    <w:p w:rsidR="00A867C1" w:rsidRDefault="00A867C1" w:rsidP="00832A48"/>
    <w:p w:rsidR="00EB424E" w:rsidRPr="002E5B52" w:rsidRDefault="00A867C1" w:rsidP="00832A48">
      <w:pPr>
        <w:ind w:left="1440" w:hanging="720"/>
      </w:pPr>
      <w:r>
        <w:t>b)</w:t>
      </w:r>
      <w:r>
        <w:tab/>
        <w:t xml:space="preserve">This Part establishes the rules that govern the Teach Illinois Scholarship Program.  Additional rules and definitions are contained in General Provisions (23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Adm. Code 2700).</w:t>
      </w:r>
    </w:p>
    <w:sectPr w:rsidR="00EB424E" w:rsidRPr="002E5B52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6B2B">
      <w:r>
        <w:separator/>
      </w:r>
    </w:p>
  </w:endnote>
  <w:endnote w:type="continuationSeparator" w:id="0">
    <w:p w:rsidR="00000000" w:rsidRDefault="0038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86B2B">
      <w:r>
        <w:separator/>
      </w:r>
    </w:p>
  </w:footnote>
  <w:footnote w:type="continuationSeparator" w:id="0">
    <w:p w:rsidR="00000000" w:rsidRDefault="00386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5EE5"/>
    <w:multiLevelType w:val="hybridMultilevel"/>
    <w:tmpl w:val="D55259FE"/>
    <w:lvl w:ilvl="0" w:tplc="BFBE9080">
      <w:start w:val="1"/>
      <w:numFmt w:val="decimal"/>
      <w:lvlText w:val="%1)"/>
      <w:lvlJc w:val="left"/>
      <w:pPr>
        <w:tabs>
          <w:tab w:val="num" w:pos="1098"/>
        </w:tabs>
        <w:ind w:left="1098" w:hanging="360"/>
      </w:pPr>
    </w:lvl>
    <w:lvl w:ilvl="1" w:tplc="EA961684">
      <w:start w:val="2"/>
      <w:numFmt w:val="decimal"/>
      <w:lvlText w:val="%2)"/>
      <w:lvlJc w:val="left"/>
      <w:pPr>
        <w:tabs>
          <w:tab w:val="num" w:pos="1818"/>
        </w:tabs>
        <w:ind w:left="181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AC5D07"/>
    <w:multiLevelType w:val="hybridMultilevel"/>
    <w:tmpl w:val="50F08A9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16010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5F4C6F2C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510DB1"/>
    <w:multiLevelType w:val="hybridMultilevel"/>
    <w:tmpl w:val="F608280E"/>
    <w:lvl w:ilvl="0" w:tplc="F24CD9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6"/>
      </w:rPr>
    </w:lvl>
    <w:lvl w:ilvl="1" w:tplc="B6AC88DA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A36098"/>
    <w:multiLevelType w:val="hybridMultilevel"/>
    <w:tmpl w:val="2CB69DFA"/>
    <w:lvl w:ilvl="0" w:tplc="2D04781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E8BAD4B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2D04781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 w:tplc="F0709CF4">
      <w:start w:val="1"/>
      <w:numFmt w:val="upperLetter"/>
      <w:lvlText w:val="%4)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BD5642"/>
    <w:multiLevelType w:val="hybridMultilevel"/>
    <w:tmpl w:val="5B5C71DE"/>
    <w:lvl w:ilvl="0" w:tplc="A3AA395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B8948930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A3AA3958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E5B52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86B2B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8271B1"/>
    <w:rsid w:val="00832A48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867C1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C423D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098D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7C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7C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