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38" w:rsidRDefault="00770B38" w:rsidP="00770B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B38" w:rsidRDefault="00770B38" w:rsidP="00770B38">
      <w:pPr>
        <w:widowControl w:val="0"/>
        <w:autoSpaceDE w:val="0"/>
        <w:autoSpaceDN w:val="0"/>
        <w:adjustRightInd w:val="0"/>
        <w:jc w:val="center"/>
      </w:pPr>
      <w:r>
        <w:t>PART 1700</w:t>
      </w:r>
    </w:p>
    <w:p w:rsidR="00770B38" w:rsidRDefault="00770B38" w:rsidP="00770B38">
      <w:pPr>
        <w:widowControl w:val="0"/>
        <w:autoSpaceDE w:val="0"/>
        <w:autoSpaceDN w:val="0"/>
        <w:adjustRightInd w:val="0"/>
        <w:jc w:val="center"/>
      </w:pPr>
      <w:r>
        <w:t>GENERAL PROVISIONS (TRANSFERRED)</w:t>
      </w:r>
    </w:p>
    <w:sectPr w:rsidR="00770B38" w:rsidSect="00770B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B38"/>
    <w:rsid w:val="002C57DA"/>
    <w:rsid w:val="005C3366"/>
    <w:rsid w:val="00770B38"/>
    <w:rsid w:val="007A0713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