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10" w:rsidRDefault="00825910" w:rsidP="008259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5910" w:rsidRDefault="00825910" w:rsidP="008259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1600.480  Financial Statements</w:t>
      </w:r>
      <w:r>
        <w:t xml:space="preserve"> </w:t>
      </w:r>
    </w:p>
    <w:p w:rsidR="00825910" w:rsidRDefault="00825910" w:rsidP="00825910">
      <w:pPr>
        <w:widowControl w:val="0"/>
        <w:autoSpaceDE w:val="0"/>
        <w:autoSpaceDN w:val="0"/>
        <w:adjustRightInd w:val="0"/>
      </w:pPr>
    </w:p>
    <w:p w:rsidR="00825910" w:rsidRDefault="00825910" w:rsidP="00825910">
      <w:pPr>
        <w:widowControl w:val="0"/>
        <w:autoSpaceDE w:val="0"/>
        <w:autoSpaceDN w:val="0"/>
        <w:adjustRightInd w:val="0"/>
      </w:pPr>
      <w:r>
        <w:t xml:space="preserve">The financial status of all State Community College funds will be maintained by the State Community College's Controller and financial statements.  They will be publicly distributed on a monthly basis only after Board approval. </w:t>
      </w:r>
    </w:p>
    <w:sectPr w:rsidR="00825910" w:rsidSect="00825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910"/>
    <w:rsid w:val="000A1EB3"/>
    <w:rsid w:val="005C3366"/>
    <w:rsid w:val="007B417A"/>
    <w:rsid w:val="00825910"/>
    <w:rsid w:val="00C2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