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67" w:rsidRDefault="00321967" w:rsidP="00321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967" w:rsidRDefault="00321967" w:rsidP="003219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1600.360  Student Organization</w:t>
      </w:r>
      <w:r>
        <w:t xml:space="preserve"> </w:t>
      </w:r>
    </w:p>
    <w:p w:rsidR="00321967" w:rsidRDefault="00321967" w:rsidP="00321967">
      <w:pPr>
        <w:widowControl w:val="0"/>
        <w:autoSpaceDE w:val="0"/>
        <w:autoSpaceDN w:val="0"/>
        <w:adjustRightInd w:val="0"/>
      </w:pPr>
    </w:p>
    <w:p w:rsidR="00321967" w:rsidRDefault="00321967" w:rsidP="00321967">
      <w:pPr>
        <w:widowControl w:val="0"/>
        <w:autoSpaceDE w:val="0"/>
        <w:autoSpaceDN w:val="0"/>
        <w:adjustRightInd w:val="0"/>
      </w:pPr>
      <w:r>
        <w:t xml:space="preserve">The official organization approved by the Board of Trustees to represent the students is the Student Government Association.  It shall have a constitution and By-laws. </w:t>
      </w:r>
    </w:p>
    <w:sectPr w:rsidR="00321967" w:rsidSect="00321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967"/>
    <w:rsid w:val="002D314F"/>
    <w:rsid w:val="00321967"/>
    <w:rsid w:val="005C3366"/>
    <w:rsid w:val="00BE3D7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