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1F" w:rsidRDefault="00653A1F" w:rsidP="00653A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A1F" w:rsidRDefault="00653A1F" w:rsidP="00653A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1600.320  State Community College Board By-laws and Handbook</w:t>
      </w:r>
      <w:r>
        <w:t xml:space="preserve"> </w:t>
      </w:r>
    </w:p>
    <w:p w:rsidR="00653A1F" w:rsidRDefault="00653A1F" w:rsidP="00653A1F">
      <w:pPr>
        <w:widowControl w:val="0"/>
        <w:autoSpaceDE w:val="0"/>
        <w:autoSpaceDN w:val="0"/>
        <w:adjustRightInd w:val="0"/>
      </w:pPr>
    </w:p>
    <w:p w:rsidR="00653A1F" w:rsidRDefault="00653A1F" w:rsidP="00653A1F">
      <w:pPr>
        <w:widowControl w:val="0"/>
        <w:autoSpaceDE w:val="0"/>
        <w:autoSpaceDN w:val="0"/>
        <w:adjustRightInd w:val="0"/>
      </w:pPr>
      <w:r>
        <w:t xml:space="preserve">The State Community College Board shall have an official handbook and by-laws to guide its members, and shall abide by the Open Meetings Act. </w:t>
      </w:r>
    </w:p>
    <w:sectPr w:rsidR="00653A1F" w:rsidSect="00653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A1F"/>
    <w:rsid w:val="000A352B"/>
    <w:rsid w:val="005C3366"/>
    <w:rsid w:val="00653A1F"/>
    <w:rsid w:val="006D41D9"/>
    <w:rsid w:val="00C2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