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7B" w:rsidRDefault="004D6E7B" w:rsidP="004D6E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E7B" w:rsidRDefault="004D6E7B" w:rsidP="004D6E7B">
      <w:pPr>
        <w:widowControl w:val="0"/>
        <w:autoSpaceDE w:val="0"/>
        <w:autoSpaceDN w:val="0"/>
        <w:adjustRightInd w:val="0"/>
      </w:pPr>
      <w:r>
        <w:t xml:space="preserve">SOURCE:  Transferred to Chapter VI, 23 Ill. Adm. Code 1400 (Board of Examiners) pursuant to 225 ILCS 450, January </w:t>
      </w:r>
      <w:r w:rsidR="00F21890">
        <w:t>1, 1994, at 19 Ill. Reg. 6</w:t>
      </w:r>
      <w:r w:rsidR="00FD1F3A">
        <w:t>3</w:t>
      </w:r>
      <w:r w:rsidR="00F21890">
        <w:t xml:space="preserve">25. </w:t>
      </w:r>
    </w:p>
    <w:sectPr w:rsidR="004D6E7B" w:rsidSect="004D6E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E7B"/>
    <w:rsid w:val="00021ECD"/>
    <w:rsid w:val="003320D0"/>
    <w:rsid w:val="004D6E7B"/>
    <w:rsid w:val="005C3366"/>
    <w:rsid w:val="00611275"/>
    <w:rsid w:val="00F21890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VI, 23 Ill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VI, 23 Ill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