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40BE" w14:textId="77777777" w:rsidR="00DE730C" w:rsidRPr="003E36CF" w:rsidRDefault="00DE730C" w:rsidP="00305C13">
      <w:pPr>
        <w:widowControl w:val="0"/>
        <w:autoSpaceDE w:val="0"/>
        <w:autoSpaceDN w:val="0"/>
        <w:adjustRightInd w:val="0"/>
      </w:pPr>
    </w:p>
    <w:p w14:paraId="744F7437" w14:textId="77777777" w:rsidR="00305C13" w:rsidRDefault="00305C13" w:rsidP="00305C1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1105.500  Approval Process</w:t>
      </w:r>
    </w:p>
    <w:p w14:paraId="272A4EDA" w14:textId="77777777" w:rsidR="00305C13" w:rsidRPr="003E36CF" w:rsidRDefault="00305C13" w:rsidP="00305C13">
      <w:pPr>
        <w:widowControl w:val="0"/>
        <w:autoSpaceDE w:val="0"/>
        <w:autoSpaceDN w:val="0"/>
        <w:adjustRightInd w:val="0"/>
      </w:pPr>
    </w:p>
    <w:p w14:paraId="1D1FD831" w14:textId="77777777" w:rsidR="00305C13" w:rsidRDefault="00305C13" w:rsidP="00305C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Board shall accept nominations for Fellowships in accordance with Section 1105.400.</w:t>
      </w:r>
    </w:p>
    <w:p w14:paraId="69B57EDB" w14:textId="77777777" w:rsidR="00305C13" w:rsidRDefault="00305C13" w:rsidP="003E36CF">
      <w:pPr>
        <w:widowControl w:val="0"/>
        <w:autoSpaceDE w:val="0"/>
        <w:autoSpaceDN w:val="0"/>
        <w:adjustRightInd w:val="0"/>
      </w:pPr>
    </w:p>
    <w:p w14:paraId="72D07418" w14:textId="77777777" w:rsidR="00305C13" w:rsidRDefault="00305C13" w:rsidP="00305C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Board staff shall review nominations to ensure the eligibility requirements are met in accordance with Section</w:t>
      </w:r>
      <w:r w:rsidR="00DE730C">
        <w:t xml:space="preserve"> 1105.300. </w:t>
      </w:r>
    </w:p>
    <w:p w14:paraId="4202A312" w14:textId="77777777" w:rsidR="00305C13" w:rsidRDefault="00305C13" w:rsidP="003E36CF">
      <w:pPr>
        <w:widowControl w:val="0"/>
        <w:autoSpaceDE w:val="0"/>
        <w:autoSpaceDN w:val="0"/>
        <w:adjustRightInd w:val="0"/>
      </w:pPr>
    </w:p>
    <w:p w14:paraId="7A36C82C" w14:textId="77777777" w:rsidR="00305C13" w:rsidRPr="00236A67" w:rsidRDefault="00305C13" w:rsidP="00305C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Board staff shall make recommendations to the Board for approval of Fellowships based upon factors that shall include, but are not limited to, the following</w:t>
      </w:r>
      <w:r w:rsidRPr="00236A67">
        <w:t xml:space="preserve">: </w:t>
      </w:r>
    </w:p>
    <w:p w14:paraId="22AA29A3" w14:textId="77777777" w:rsidR="00305C13" w:rsidRPr="00236A67" w:rsidRDefault="00305C13" w:rsidP="003E36CF">
      <w:pPr>
        <w:widowControl w:val="0"/>
        <w:autoSpaceDE w:val="0"/>
        <w:autoSpaceDN w:val="0"/>
        <w:adjustRightInd w:val="0"/>
      </w:pPr>
    </w:p>
    <w:p w14:paraId="750C0A2F" w14:textId="44339C90" w:rsidR="00305C13" w:rsidRPr="00236A67" w:rsidRDefault="00305C13" w:rsidP="00305C13">
      <w:pPr>
        <w:widowControl w:val="0"/>
        <w:autoSpaceDE w:val="0"/>
        <w:autoSpaceDN w:val="0"/>
        <w:adjustRightInd w:val="0"/>
        <w:ind w:left="2160" w:hanging="720"/>
      </w:pPr>
      <w:r w:rsidRPr="00236A67">
        <w:t>1)</w:t>
      </w:r>
      <w:r w:rsidRPr="00236A67">
        <w:tab/>
      </w:r>
      <w:r w:rsidR="00180B87" w:rsidRPr="009C3DA4">
        <w:t>Strength of the nomination by the chief nursing administrator and the nominee</w:t>
      </w:r>
      <w:r w:rsidR="00180B87">
        <w:t>'</w:t>
      </w:r>
      <w:r w:rsidR="00180B87" w:rsidRPr="009C3DA4">
        <w:t xml:space="preserve">s </w:t>
      </w:r>
      <w:r w:rsidR="002E4F10">
        <w:t>Fellowship plan</w:t>
      </w:r>
      <w:r w:rsidR="00685C10">
        <w:t>,</w:t>
      </w:r>
      <w:r w:rsidRPr="00236A67">
        <w:t xml:space="preserve"> proposed use of funds and employment plans;</w:t>
      </w:r>
    </w:p>
    <w:p w14:paraId="69EFA136" w14:textId="77777777" w:rsidR="00305C13" w:rsidRPr="00236A67" w:rsidRDefault="00305C13" w:rsidP="003E36CF">
      <w:pPr>
        <w:widowControl w:val="0"/>
        <w:autoSpaceDE w:val="0"/>
        <w:autoSpaceDN w:val="0"/>
        <w:adjustRightInd w:val="0"/>
      </w:pPr>
    </w:p>
    <w:p w14:paraId="29088370" w14:textId="0B0A06D3" w:rsidR="00305C13" w:rsidRPr="00236A67" w:rsidRDefault="00305C13" w:rsidP="00305C13">
      <w:pPr>
        <w:widowControl w:val="0"/>
        <w:autoSpaceDE w:val="0"/>
        <w:autoSpaceDN w:val="0"/>
        <w:adjustRightInd w:val="0"/>
        <w:ind w:left="2160" w:hanging="720"/>
      </w:pPr>
      <w:r w:rsidRPr="00236A67">
        <w:t>2)</w:t>
      </w:r>
      <w:r w:rsidRPr="00236A67">
        <w:tab/>
        <w:t>Major accomplishments</w:t>
      </w:r>
      <w:r w:rsidR="00180B87">
        <w:t xml:space="preserve"> of the nominee</w:t>
      </w:r>
      <w:r w:rsidRPr="00236A67">
        <w:t xml:space="preserve">, such as </w:t>
      </w:r>
      <w:r w:rsidR="003A059E">
        <w:t>scholarship</w:t>
      </w:r>
      <w:r w:rsidRPr="00236A67">
        <w:t xml:space="preserve">, program improvements, and other nursing program contributions; </w:t>
      </w:r>
    </w:p>
    <w:p w14:paraId="46A72BF7" w14:textId="77777777" w:rsidR="00305C13" w:rsidRPr="00236A67" w:rsidRDefault="00305C13" w:rsidP="003E36CF">
      <w:pPr>
        <w:widowControl w:val="0"/>
        <w:autoSpaceDE w:val="0"/>
        <w:autoSpaceDN w:val="0"/>
        <w:adjustRightInd w:val="0"/>
      </w:pPr>
    </w:p>
    <w:p w14:paraId="164E7920" w14:textId="1AB48B98" w:rsidR="00305C13" w:rsidRPr="00236A67" w:rsidRDefault="00305C13" w:rsidP="003A059E">
      <w:pPr>
        <w:widowControl w:val="0"/>
        <w:autoSpaceDE w:val="0"/>
        <w:autoSpaceDN w:val="0"/>
        <w:adjustRightInd w:val="0"/>
        <w:ind w:left="2160" w:hanging="720"/>
      </w:pPr>
      <w:r w:rsidRPr="00236A67">
        <w:t>3)</w:t>
      </w:r>
      <w:r w:rsidRPr="00236A67">
        <w:tab/>
      </w:r>
      <w:r w:rsidR="00685C10">
        <w:t>Potential i</w:t>
      </w:r>
      <w:r w:rsidR="003A059E">
        <w:t xml:space="preserve">mpact of </w:t>
      </w:r>
      <w:r w:rsidR="002E4F10">
        <w:t>the F</w:t>
      </w:r>
      <w:r w:rsidR="003A059E">
        <w:t>ellowship</w:t>
      </w:r>
      <w:r w:rsidR="002E4F10">
        <w:t>'s</w:t>
      </w:r>
      <w:r w:rsidR="003A059E">
        <w:t xml:space="preserve"> plan on traditionally underserved students and communities, including, but not limited to, rural, low-income, and culturally and linguistically diverse populations</w:t>
      </w:r>
      <w:r w:rsidRPr="00236A67">
        <w:t>;</w:t>
      </w:r>
    </w:p>
    <w:p w14:paraId="5B8984A9" w14:textId="77777777" w:rsidR="00305C13" w:rsidRPr="00236A67" w:rsidRDefault="00305C13" w:rsidP="003E36CF">
      <w:pPr>
        <w:widowControl w:val="0"/>
        <w:autoSpaceDE w:val="0"/>
        <w:autoSpaceDN w:val="0"/>
        <w:adjustRightInd w:val="0"/>
      </w:pPr>
    </w:p>
    <w:p w14:paraId="45B31E89" w14:textId="1B5C0FE0" w:rsidR="006C7F7B" w:rsidRDefault="007E01CD" w:rsidP="006C7F7B">
      <w:pPr>
        <w:ind w:left="2160" w:hanging="720"/>
      </w:pPr>
      <w:r>
        <w:t>4)</w:t>
      </w:r>
      <w:r>
        <w:tab/>
      </w:r>
      <w:r w:rsidR="006C7F7B" w:rsidRPr="009C3DA4">
        <w:t xml:space="preserve">Distribution of Fellowship recipients among the degree levels and sectors of eligible institutions that nominate qualified applicants for the </w:t>
      </w:r>
      <w:r w:rsidR="00685C10">
        <w:t>Program</w:t>
      </w:r>
      <w:r w:rsidR="006C7F7B" w:rsidRPr="009C3DA4">
        <w:t>;</w:t>
      </w:r>
      <w:r w:rsidR="006C7F7B">
        <w:t xml:space="preserve"> and</w:t>
      </w:r>
    </w:p>
    <w:p w14:paraId="03A75121" w14:textId="77777777" w:rsidR="006C7F7B" w:rsidRDefault="006C7F7B" w:rsidP="003E36CF"/>
    <w:p w14:paraId="44E00CEB" w14:textId="77777777" w:rsidR="00EB424E" w:rsidRDefault="006C7F7B" w:rsidP="006C7F7B">
      <w:pPr>
        <w:ind w:left="2160" w:hanging="720"/>
      </w:pPr>
      <w:r>
        <w:t>5)</w:t>
      </w:r>
      <w:r>
        <w:tab/>
      </w:r>
      <w:r w:rsidR="00305C13" w:rsidRPr="00236A67">
        <w:t>Tenure status</w:t>
      </w:r>
      <w:r w:rsidR="00305C13">
        <w:t xml:space="preserve"> (preference will be given to tenured/tenure-track faculty</w:t>
      </w:r>
      <w:r w:rsidR="00AE6D71">
        <w:t>)</w:t>
      </w:r>
      <w:r w:rsidR="00F66D12">
        <w:t>.</w:t>
      </w:r>
    </w:p>
    <w:p w14:paraId="625C7A78" w14:textId="77777777" w:rsidR="007E01CD" w:rsidRDefault="007E01CD" w:rsidP="003E36CF"/>
    <w:p w14:paraId="10D34B67" w14:textId="77777777" w:rsidR="006C7F7B" w:rsidRDefault="007E01CD" w:rsidP="00D653CD">
      <w:pPr>
        <w:ind w:left="1440" w:hanging="720"/>
      </w:pPr>
      <w:r>
        <w:t>d)</w:t>
      </w:r>
      <w:r>
        <w:tab/>
      </w:r>
      <w:r w:rsidR="006C7F7B" w:rsidRPr="009C3DA4">
        <w:t>For a nominating institution that is a prior fiscal agent of an award under this Part, the Board staff shall review available information on the institution</w:t>
      </w:r>
      <w:r w:rsidR="006C7F7B">
        <w:t>'</w:t>
      </w:r>
      <w:r w:rsidR="006C7F7B" w:rsidRPr="009C3DA4">
        <w:t xml:space="preserve">s prior performance and consider that information when assessing institution risk.  This is part of the grantee risk assessment </w:t>
      </w:r>
      <w:r w:rsidR="00C25B42">
        <w:t xml:space="preserve">required </w:t>
      </w:r>
      <w:r w:rsidR="006C7F7B" w:rsidRPr="009C3DA4">
        <w:t>by GATU (see GA</w:t>
      </w:r>
      <w:r w:rsidR="00120158">
        <w:t>T</w:t>
      </w:r>
      <w:r w:rsidR="006C7F7B" w:rsidRPr="009C3DA4">
        <w:t>A Rule Section 7000.340).</w:t>
      </w:r>
    </w:p>
    <w:p w14:paraId="150060EC" w14:textId="79BB5C02" w:rsidR="006C7F7B" w:rsidRDefault="006C7F7B" w:rsidP="003E36CF"/>
    <w:p w14:paraId="4A93018B" w14:textId="34B29C83" w:rsidR="007E01CD" w:rsidRDefault="006C7F7B" w:rsidP="00D653CD">
      <w:pPr>
        <w:ind w:left="1440" w:hanging="720"/>
      </w:pPr>
      <w:r>
        <w:t>e)</w:t>
      </w:r>
      <w:r w:rsidR="002E4F10">
        <w:tab/>
      </w:r>
      <w:r w:rsidR="007E01CD">
        <w:t>Upon Board approval, Fellowships can be made to the nominating institution, on behalf of the Fellow.</w:t>
      </w:r>
    </w:p>
    <w:p w14:paraId="04AF1A1A" w14:textId="77777777" w:rsidR="006C7F7B" w:rsidRDefault="006C7F7B" w:rsidP="003E36CF"/>
    <w:p w14:paraId="4C88FA70" w14:textId="1F20CFF6" w:rsidR="006C7F7B" w:rsidRPr="00333867" w:rsidRDefault="003A059E" w:rsidP="00D653CD">
      <w:pPr>
        <w:ind w:left="1440" w:hanging="720"/>
      </w:pPr>
      <w:r w:rsidRPr="00524821">
        <w:t>(Source:  Amended at 4</w:t>
      </w:r>
      <w:r w:rsidR="00D52C85">
        <w:t>9</w:t>
      </w:r>
      <w:r w:rsidRPr="00524821">
        <w:t xml:space="preserve"> Ill. Reg. </w:t>
      </w:r>
      <w:r w:rsidR="005B4D49">
        <w:t>14240</w:t>
      </w:r>
      <w:r w:rsidRPr="00524821">
        <w:t xml:space="preserve">, effective </w:t>
      </w:r>
      <w:r w:rsidR="005B4D49">
        <w:t>October 16, 2025</w:t>
      </w:r>
      <w:r w:rsidRPr="00524821">
        <w:t>)</w:t>
      </w:r>
    </w:p>
    <w:sectPr w:rsidR="006C7F7B" w:rsidRPr="0033386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E212" w14:textId="77777777" w:rsidR="000D20E4" w:rsidRDefault="000D20E4">
      <w:r>
        <w:separator/>
      </w:r>
    </w:p>
  </w:endnote>
  <w:endnote w:type="continuationSeparator" w:id="0">
    <w:p w14:paraId="2C14574C" w14:textId="77777777" w:rsidR="000D20E4" w:rsidRDefault="000D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6DDC" w14:textId="77777777" w:rsidR="000D20E4" w:rsidRDefault="000D20E4">
      <w:r>
        <w:separator/>
      </w:r>
    </w:p>
  </w:footnote>
  <w:footnote w:type="continuationSeparator" w:id="0">
    <w:p w14:paraId="2051E59A" w14:textId="77777777" w:rsidR="000D20E4" w:rsidRDefault="000D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67B8"/>
    <w:multiLevelType w:val="hybridMultilevel"/>
    <w:tmpl w:val="10C25344"/>
    <w:lvl w:ilvl="0" w:tplc="D5B4FF0C">
      <w:start w:val="4"/>
      <w:numFmt w:val="decimal"/>
      <w:lvlText w:val="%1)"/>
      <w:lvlJc w:val="left"/>
      <w:pPr>
        <w:tabs>
          <w:tab w:val="num" w:pos="2316"/>
        </w:tabs>
        <w:ind w:left="23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80B31"/>
    <w:rsid w:val="000C2E37"/>
    <w:rsid w:val="000D20E4"/>
    <w:rsid w:val="000D225F"/>
    <w:rsid w:val="000D74D6"/>
    <w:rsid w:val="0010517C"/>
    <w:rsid w:val="00120158"/>
    <w:rsid w:val="001327E2"/>
    <w:rsid w:val="00180B87"/>
    <w:rsid w:val="00195E31"/>
    <w:rsid w:val="001C7D95"/>
    <w:rsid w:val="001E3074"/>
    <w:rsid w:val="002246C2"/>
    <w:rsid w:val="00225354"/>
    <w:rsid w:val="002462D9"/>
    <w:rsid w:val="002524EC"/>
    <w:rsid w:val="002568D2"/>
    <w:rsid w:val="002A643F"/>
    <w:rsid w:val="002E4F10"/>
    <w:rsid w:val="00305C13"/>
    <w:rsid w:val="00333867"/>
    <w:rsid w:val="00337CEB"/>
    <w:rsid w:val="0034056C"/>
    <w:rsid w:val="00367A2E"/>
    <w:rsid w:val="003A059E"/>
    <w:rsid w:val="003D1ECC"/>
    <w:rsid w:val="003E36CF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4A49"/>
    <w:rsid w:val="00530BE1"/>
    <w:rsid w:val="00542E97"/>
    <w:rsid w:val="0056157E"/>
    <w:rsid w:val="0056501E"/>
    <w:rsid w:val="005B4D49"/>
    <w:rsid w:val="00621367"/>
    <w:rsid w:val="00657099"/>
    <w:rsid w:val="00685C10"/>
    <w:rsid w:val="006A2114"/>
    <w:rsid w:val="006C7F7B"/>
    <w:rsid w:val="006E0D09"/>
    <w:rsid w:val="006F7D24"/>
    <w:rsid w:val="0074655F"/>
    <w:rsid w:val="00761F01"/>
    <w:rsid w:val="00780733"/>
    <w:rsid w:val="007958FC"/>
    <w:rsid w:val="007A2D58"/>
    <w:rsid w:val="007A559E"/>
    <w:rsid w:val="007E01CD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11E25"/>
    <w:rsid w:val="00A2265D"/>
    <w:rsid w:val="00A600AA"/>
    <w:rsid w:val="00AE5547"/>
    <w:rsid w:val="00AE6D71"/>
    <w:rsid w:val="00B35D67"/>
    <w:rsid w:val="00B516F7"/>
    <w:rsid w:val="00B71177"/>
    <w:rsid w:val="00C25B42"/>
    <w:rsid w:val="00C4537A"/>
    <w:rsid w:val="00CC13F9"/>
    <w:rsid w:val="00CD3723"/>
    <w:rsid w:val="00D35F4F"/>
    <w:rsid w:val="00D52C85"/>
    <w:rsid w:val="00D55B37"/>
    <w:rsid w:val="00D653CD"/>
    <w:rsid w:val="00D91A64"/>
    <w:rsid w:val="00D93C67"/>
    <w:rsid w:val="00DC56B8"/>
    <w:rsid w:val="00DE13C1"/>
    <w:rsid w:val="00DE730C"/>
    <w:rsid w:val="00E1684A"/>
    <w:rsid w:val="00E7288E"/>
    <w:rsid w:val="00EB424E"/>
    <w:rsid w:val="00F371F4"/>
    <w:rsid w:val="00F43DEE"/>
    <w:rsid w:val="00F66D12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80010"/>
  <w15:docId w15:val="{0252788A-0E9B-4CC3-8DB7-A890A62B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C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2025-06-20T20:41:00Z</dcterms:created>
  <dcterms:modified xsi:type="dcterms:W3CDTF">2025-10-31T12:37:00Z</dcterms:modified>
</cp:coreProperties>
</file>