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DC" w:rsidRDefault="004915DC" w:rsidP="00CB6689">
      <w:bookmarkStart w:id="0" w:name="_GoBack"/>
      <w:bookmarkEnd w:id="0"/>
    </w:p>
    <w:p w:rsidR="00CB6689" w:rsidRPr="004915DC" w:rsidRDefault="00CB6689" w:rsidP="00CB6689">
      <w:pPr>
        <w:rPr>
          <w:b/>
          <w:i/>
        </w:rPr>
      </w:pPr>
      <w:r w:rsidRPr="004915DC">
        <w:rPr>
          <w:b/>
        </w:rPr>
        <w:t xml:space="preserve">Section 1090.50  Use of Grant Funds  </w:t>
      </w:r>
    </w:p>
    <w:p w:rsidR="00CB6689" w:rsidRPr="00CB6689" w:rsidRDefault="00CB6689" w:rsidP="00CB6689"/>
    <w:p w:rsidR="00CB6689" w:rsidRPr="004915DC" w:rsidRDefault="004915DC" w:rsidP="004915DC">
      <w:pPr>
        <w:ind w:firstLine="720"/>
      </w:pPr>
      <w:r w:rsidRPr="004915DC">
        <w:t>a)</w:t>
      </w:r>
      <w:r w:rsidRPr="004915DC">
        <w:tab/>
      </w:r>
      <w:r w:rsidR="00CB6689" w:rsidRPr="004915DC">
        <w:t xml:space="preserve">Grant funds may be used for any combination of the following: </w:t>
      </w:r>
    </w:p>
    <w:p w:rsidR="00CB6689" w:rsidRPr="004915DC" w:rsidRDefault="00CB6689" w:rsidP="004915DC"/>
    <w:p w:rsidR="00CB6689" w:rsidRPr="004915DC" w:rsidRDefault="004915DC" w:rsidP="004915DC">
      <w:pPr>
        <w:ind w:left="2160" w:hanging="720"/>
      </w:pPr>
      <w:r>
        <w:t>1)</w:t>
      </w:r>
      <w:r>
        <w:tab/>
      </w:r>
      <w:r w:rsidR="00CB6689" w:rsidRPr="00AB7120">
        <w:rPr>
          <w:i/>
        </w:rPr>
        <w:t>Instructional space on or near a community college</w:t>
      </w:r>
      <w:r w:rsidR="00CB6689" w:rsidRPr="004915DC">
        <w:t xml:space="preserve"> [110 ILCS 205/9.33(c)(1)];</w:t>
      </w:r>
    </w:p>
    <w:p w:rsidR="00CB6689" w:rsidRPr="004915DC" w:rsidRDefault="00CB6689" w:rsidP="004915DC"/>
    <w:p w:rsidR="00CB6689" w:rsidRPr="004915DC" w:rsidRDefault="004915DC" w:rsidP="004915DC">
      <w:pPr>
        <w:ind w:left="2160" w:hanging="720"/>
      </w:pPr>
      <w:r>
        <w:t>2)</w:t>
      </w:r>
      <w:r>
        <w:tab/>
      </w:r>
      <w:r w:rsidR="00CB6689" w:rsidRPr="00AB7120">
        <w:rPr>
          <w:i/>
        </w:rPr>
        <w:t>Required training and advanced education of faculty for the new programs</w:t>
      </w:r>
      <w:r w:rsidR="00CB6689" w:rsidRPr="004915DC">
        <w:t xml:space="preserve"> [110 ILCS 205/9.33(c)(2)];</w:t>
      </w:r>
    </w:p>
    <w:p w:rsidR="00CB6689" w:rsidRPr="004915DC" w:rsidRDefault="00CB6689" w:rsidP="004915DC"/>
    <w:p w:rsidR="00CB6689" w:rsidRPr="004915DC" w:rsidRDefault="004915DC" w:rsidP="004915DC">
      <w:pPr>
        <w:ind w:left="2160" w:hanging="720"/>
      </w:pPr>
      <w:r>
        <w:t>3)</w:t>
      </w:r>
      <w:r>
        <w:tab/>
      </w:r>
      <w:r w:rsidR="00CB6689" w:rsidRPr="00AB7120">
        <w:rPr>
          <w:i/>
        </w:rPr>
        <w:t>Instructional technology tools</w:t>
      </w:r>
      <w:r w:rsidR="00CB6689" w:rsidRPr="004915DC">
        <w:t xml:space="preserve"> defined in Section 1090.10 [110 ILCS 205/9.33(c)(3)];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4)</w:t>
      </w:r>
      <w:r>
        <w:tab/>
      </w:r>
      <w:r w:rsidR="00CB6689" w:rsidRPr="00AB7120">
        <w:rPr>
          <w:i/>
        </w:rPr>
        <w:t>Marketing and promotion for joint efforts</w:t>
      </w:r>
      <w:r w:rsidR="00CB6689" w:rsidRPr="004915DC">
        <w:t xml:space="preserve"> [110 ILCS 205/9.33(c)(4)];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5)</w:t>
      </w:r>
      <w:r>
        <w:tab/>
      </w:r>
      <w:r w:rsidR="00CB6689" w:rsidRPr="004915DC">
        <w:t>Salaries of faculty and administrators;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6)</w:t>
      </w:r>
      <w:r>
        <w:tab/>
      </w:r>
      <w:r w:rsidR="00CB6689" w:rsidRPr="004915DC">
        <w:t xml:space="preserve">Access to learning resources and student services; 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7)</w:t>
      </w:r>
      <w:r>
        <w:tab/>
      </w:r>
      <w:r w:rsidR="00CB6689" w:rsidRPr="004915DC">
        <w:t xml:space="preserve">Travel by faculty and administrators; 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8)</w:t>
      </w:r>
      <w:r>
        <w:tab/>
      </w:r>
      <w:r w:rsidR="00CB6689" w:rsidRPr="004915DC">
        <w:t>Experience-based learning opportunities; and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9)</w:t>
      </w:r>
      <w:r>
        <w:tab/>
      </w:r>
      <w:r w:rsidR="00CB6689" w:rsidRPr="004915DC">
        <w:t>Auditor services for the report required in Section 1090.80.</w:t>
      </w:r>
    </w:p>
    <w:p w:rsidR="00CB6689" w:rsidRPr="004915DC" w:rsidRDefault="00CB6689" w:rsidP="004915DC"/>
    <w:p w:rsidR="00CB6689" w:rsidRPr="004915DC" w:rsidRDefault="004915DC" w:rsidP="004915DC">
      <w:pPr>
        <w:ind w:left="720" w:firstLine="21"/>
      </w:pPr>
      <w:r>
        <w:t>b)</w:t>
      </w:r>
      <w:r>
        <w:tab/>
      </w:r>
      <w:r w:rsidR="00CB6689" w:rsidRPr="004915DC">
        <w:t>Grant funds shall n</w:t>
      </w:r>
      <w:r>
        <w:t xml:space="preserve">ot be used for the following: </w:t>
      </w:r>
    </w:p>
    <w:p w:rsidR="00CB6689" w:rsidRPr="004915DC" w:rsidRDefault="00CB6689" w:rsidP="004915DC"/>
    <w:p w:rsidR="00CB6689" w:rsidRPr="004915DC" w:rsidRDefault="004915DC" w:rsidP="004915DC">
      <w:pPr>
        <w:ind w:left="2160" w:hanging="720"/>
      </w:pPr>
      <w:r>
        <w:t>1)</w:t>
      </w:r>
      <w:r>
        <w:tab/>
      </w:r>
      <w:r w:rsidR="00CB6689" w:rsidRPr="004915DC">
        <w:t>Capital projects</w:t>
      </w:r>
      <w:r w:rsidR="00D90BFF">
        <w:t>,</w:t>
      </w:r>
      <w:r w:rsidR="00CB6689" w:rsidRPr="004915DC">
        <w:t xml:space="preserve"> including construction, repair, renovation and miscellaneous capital improvements; and </w:t>
      </w:r>
    </w:p>
    <w:p w:rsidR="00CB6689" w:rsidRPr="004915DC" w:rsidRDefault="00CB6689" w:rsidP="004915DC"/>
    <w:p w:rsidR="00CB6689" w:rsidRPr="004915DC" w:rsidRDefault="004915DC" w:rsidP="004915DC">
      <w:pPr>
        <w:ind w:left="720" w:firstLine="720"/>
      </w:pPr>
      <w:r>
        <w:t>2)</w:t>
      </w:r>
      <w:r>
        <w:tab/>
      </w:r>
      <w:r w:rsidR="00CB6689" w:rsidRPr="004915DC">
        <w:t xml:space="preserve">Expenditures for services or goods not directly associated with the grant.  </w:t>
      </w:r>
    </w:p>
    <w:sectPr w:rsidR="00CB6689" w:rsidRPr="004915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C8" w:rsidRDefault="00F671C8">
      <w:r>
        <w:separator/>
      </w:r>
    </w:p>
  </w:endnote>
  <w:endnote w:type="continuationSeparator" w:id="0">
    <w:p w:rsidR="00F671C8" w:rsidRDefault="00F6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C8" w:rsidRDefault="00F671C8">
      <w:r>
        <w:separator/>
      </w:r>
    </w:p>
  </w:footnote>
  <w:footnote w:type="continuationSeparator" w:id="0">
    <w:p w:rsidR="00F671C8" w:rsidRDefault="00F6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CC3"/>
    <w:multiLevelType w:val="hybridMultilevel"/>
    <w:tmpl w:val="F6746B40"/>
    <w:lvl w:ilvl="0" w:tplc="E4A63FEE">
      <w:start w:val="1"/>
      <w:numFmt w:val="decimal"/>
      <w:lvlText w:val="%1)"/>
      <w:lvlJc w:val="left"/>
      <w:pPr>
        <w:ind w:left="1890" w:hanging="360"/>
      </w:pPr>
      <w:rPr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740A8"/>
    <w:multiLevelType w:val="hybridMultilevel"/>
    <w:tmpl w:val="AEDA4C98"/>
    <w:lvl w:ilvl="0" w:tplc="C5FABA0E">
      <w:start w:val="1"/>
      <w:numFmt w:val="lowerLetter"/>
      <w:lvlText w:val="%1)"/>
      <w:lvlJc w:val="left"/>
      <w:pPr>
        <w:ind w:left="1425" w:hanging="705"/>
      </w:pPr>
      <w:rPr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12CED"/>
    <w:multiLevelType w:val="hybridMultilevel"/>
    <w:tmpl w:val="A1827720"/>
    <w:lvl w:ilvl="0" w:tplc="96C820CC">
      <w:start w:val="1"/>
      <w:numFmt w:val="decimal"/>
      <w:lvlText w:val="%1)"/>
      <w:lvlJc w:val="left"/>
      <w:pPr>
        <w:ind w:left="1785" w:hanging="360"/>
      </w:pPr>
      <w:rPr>
        <w:i w:val="0"/>
        <w:strike w:val="0"/>
        <w:dstrike w:val="0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6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59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C48"/>
    <w:rsid w:val="00420E63"/>
    <w:rsid w:val="004218A0"/>
    <w:rsid w:val="00426A13"/>
    <w:rsid w:val="00431CFE"/>
    <w:rsid w:val="004326E0"/>
    <w:rsid w:val="00437823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D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8D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120"/>
    <w:rsid w:val="00AC0DD5"/>
    <w:rsid w:val="00AC4914"/>
    <w:rsid w:val="00AC6F0C"/>
    <w:rsid w:val="00AC7225"/>
    <w:rsid w:val="00AD2A5F"/>
    <w:rsid w:val="00AD4C1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68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BFF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1C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B66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B66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