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A5" w:rsidRDefault="008444A5" w:rsidP="008444A5">
      <w:pPr>
        <w:widowControl w:val="0"/>
        <w:autoSpaceDE w:val="0"/>
        <w:autoSpaceDN w:val="0"/>
        <w:adjustRightInd w:val="0"/>
      </w:pPr>
      <w:bookmarkStart w:id="0" w:name="_GoBack"/>
      <w:bookmarkEnd w:id="0"/>
    </w:p>
    <w:p w:rsidR="008444A5" w:rsidRDefault="008444A5" w:rsidP="008444A5">
      <w:pPr>
        <w:widowControl w:val="0"/>
        <w:autoSpaceDE w:val="0"/>
        <w:autoSpaceDN w:val="0"/>
        <w:adjustRightInd w:val="0"/>
      </w:pPr>
      <w:r>
        <w:rPr>
          <w:b/>
          <w:bCs/>
        </w:rPr>
        <w:t>Section 1070.802  Voting Structure</w:t>
      </w:r>
      <w:r>
        <w:t xml:space="preserve"> </w:t>
      </w:r>
    </w:p>
    <w:p w:rsidR="008444A5" w:rsidRDefault="008444A5" w:rsidP="008444A5">
      <w:pPr>
        <w:widowControl w:val="0"/>
        <w:autoSpaceDE w:val="0"/>
        <w:autoSpaceDN w:val="0"/>
        <w:adjustRightInd w:val="0"/>
      </w:pPr>
    </w:p>
    <w:p w:rsidR="008444A5" w:rsidRDefault="008444A5" w:rsidP="008444A5">
      <w:pPr>
        <w:widowControl w:val="0"/>
        <w:autoSpaceDE w:val="0"/>
        <w:autoSpaceDN w:val="0"/>
        <w:adjustRightInd w:val="0"/>
      </w:pPr>
      <w:r>
        <w:t xml:space="preserve">The present voting structure of the Board of Higher Education has served postsecondary education well and no changes are necessary at this time.  If the voting structure of the Board of Higher Education is to be changed, prime consideration should be given to having all voting members represent the general public. </w:t>
      </w:r>
    </w:p>
    <w:sectPr w:rsidR="008444A5" w:rsidSect="008444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4A5"/>
    <w:rsid w:val="004426B3"/>
    <w:rsid w:val="005C3366"/>
    <w:rsid w:val="00632669"/>
    <w:rsid w:val="008444A5"/>
    <w:rsid w:val="00B0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