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12" w:rsidRDefault="00D20312" w:rsidP="00D20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312" w:rsidRDefault="00D20312" w:rsidP="00D20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1070.207  Retirement Funding</w:t>
      </w:r>
      <w:r>
        <w:t xml:space="preserve"> </w:t>
      </w:r>
    </w:p>
    <w:p w:rsidR="00D20312" w:rsidRDefault="00D20312" w:rsidP="00D20312">
      <w:pPr>
        <w:widowControl w:val="0"/>
        <w:autoSpaceDE w:val="0"/>
        <w:autoSpaceDN w:val="0"/>
        <w:adjustRightInd w:val="0"/>
      </w:pPr>
    </w:p>
    <w:p w:rsidR="00D20312" w:rsidRDefault="00D20312" w:rsidP="00D20312">
      <w:pPr>
        <w:widowControl w:val="0"/>
        <w:autoSpaceDE w:val="0"/>
        <w:autoSpaceDN w:val="0"/>
        <w:adjustRightInd w:val="0"/>
      </w:pPr>
      <w:r>
        <w:t xml:space="preserve">In addition to an appropriation for annual payout requirements of the State Universities Retirement System, the State should appropriate yearly additional funds to reduce the unfunded accrued liability of the systems. </w:t>
      </w:r>
    </w:p>
    <w:sectPr w:rsidR="00D20312" w:rsidSect="00D20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312"/>
    <w:rsid w:val="002B1D7C"/>
    <w:rsid w:val="005C3366"/>
    <w:rsid w:val="0066537E"/>
    <w:rsid w:val="00AA7B32"/>
    <w:rsid w:val="00D20312"/>
    <w:rsid w:val="00E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