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56" w:rsidRDefault="00D42B56" w:rsidP="00D42B56">
      <w:pPr>
        <w:widowControl w:val="0"/>
        <w:autoSpaceDE w:val="0"/>
        <w:autoSpaceDN w:val="0"/>
        <w:adjustRightInd w:val="0"/>
      </w:pPr>
      <w:bookmarkStart w:id="0" w:name="_GoBack"/>
      <w:bookmarkEnd w:id="0"/>
    </w:p>
    <w:p w:rsidR="00D42B56" w:rsidRDefault="00D42B56" w:rsidP="00D42B56">
      <w:pPr>
        <w:widowControl w:val="0"/>
        <w:autoSpaceDE w:val="0"/>
        <w:autoSpaceDN w:val="0"/>
        <w:adjustRightInd w:val="0"/>
      </w:pPr>
      <w:r>
        <w:rPr>
          <w:b/>
          <w:bCs/>
        </w:rPr>
        <w:t>Section 1070.203  Public University Tuition</w:t>
      </w:r>
      <w:r>
        <w:t xml:space="preserve"> </w:t>
      </w:r>
    </w:p>
    <w:p w:rsidR="00D42B56" w:rsidRDefault="00D42B56" w:rsidP="00D42B56">
      <w:pPr>
        <w:widowControl w:val="0"/>
        <w:autoSpaceDE w:val="0"/>
        <w:autoSpaceDN w:val="0"/>
        <w:adjustRightInd w:val="0"/>
      </w:pPr>
    </w:p>
    <w:p w:rsidR="00D42B56" w:rsidRDefault="00D42B56" w:rsidP="00D42B56">
      <w:pPr>
        <w:widowControl w:val="0"/>
        <w:autoSpaceDE w:val="0"/>
        <w:autoSpaceDN w:val="0"/>
        <w:adjustRightInd w:val="0"/>
        <w:ind w:left="1440" w:hanging="720"/>
      </w:pPr>
      <w:r>
        <w:t>a)</w:t>
      </w:r>
      <w:r>
        <w:tab/>
        <w:t xml:space="preserve">Tuition charges for resident, undergraduate students should be maintained at a level of one-third of undergraduate instructional costs, calculated on the appropriate system base.  To this end, public university systems should raise undergraduate tuitions proportionately so that the one-third policy will be fully implemented no later than fiscal year 1980. Following full implementation of the one-third policy by fiscal year 1980, tuition charges should be updated annually and routinely applied in Board of Higher Education budget recommendations.  This tuition policy should be implemented, provided that: </w:t>
      </w:r>
    </w:p>
    <w:p w:rsidR="003C0D8D" w:rsidRDefault="003C0D8D" w:rsidP="00D42B56">
      <w:pPr>
        <w:widowControl w:val="0"/>
        <w:autoSpaceDE w:val="0"/>
        <w:autoSpaceDN w:val="0"/>
        <w:adjustRightInd w:val="0"/>
        <w:ind w:left="2160" w:hanging="720"/>
      </w:pPr>
    </w:p>
    <w:p w:rsidR="00D42B56" w:rsidRDefault="00D42B56" w:rsidP="00D42B56">
      <w:pPr>
        <w:widowControl w:val="0"/>
        <w:autoSpaceDE w:val="0"/>
        <w:autoSpaceDN w:val="0"/>
        <w:adjustRightInd w:val="0"/>
        <w:ind w:left="2160" w:hanging="720"/>
      </w:pPr>
      <w:r>
        <w:t>1)</w:t>
      </w:r>
      <w:r>
        <w:tab/>
        <w:t xml:space="preserve">The General Assembly and Governor increase funding of the Illinois State Scholarship Commission's monetary award program and/or other programs to offset the impact of any proposed tuition increases on financially needy students; </w:t>
      </w:r>
    </w:p>
    <w:p w:rsidR="003C0D8D" w:rsidRDefault="003C0D8D" w:rsidP="00D42B56">
      <w:pPr>
        <w:widowControl w:val="0"/>
        <w:autoSpaceDE w:val="0"/>
        <w:autoSpaceDN w:val="0"/>
        <w:adjustRightInd w:val="0"/>
        <w:ind w:left="2160" w:hanging="720"/>
      </w:pPr>
    </w:p>
    <w:p w:rsidR="00D42B56" w:rsidRDefault="00D42B56" w:rsidP="00D42B56">
      <w:pPr>
        <w:widowControl w:val="0"/>
        <w:autoSpaceDE w:val="0"/>
        <w:autoSpaceDN w:val="0"/>
        <w:adjustRightInd w:val="0"/>
        <w:ind w:left="2160" w:hanging="720"/>
      </w:pPr>
      <w:r>
        <w:t>2)</w:t>
      </w:r>
      <w:r>
        <w:tab/>
        <w:t xml:space="preserve">Full implementation of the one-third policy at any one system does not result in undergraduate tuition charges higher than undergraduate tuition charges at the University of Illinois; </w:t>
      </w:r>
    </w:p>
    <w:p w:rsidR="003C0D8D" w:rsidRDefault="003C0D8D" w:rsidP="00D42B56">
      <w:pPr>
        <w:widowControl w:val="0"/>
        <w:autoSpaceDE w:val="0"/>
        <w:autoSpaceDN w:val="0"/>
        <w:adjustRightInd w:val="0"/>
        <w:ind w:left="2160" w:hanging="720"/>
      </w:pPr>
    </w:p>
    <w:p w:rsidR="00D42B56" w:rsidRDefault="00D42B56" w:rsidP="00D42B56">
      <w:pPr>
        <w:widowControl w:val="0"/>
        <w:autoSpaceDE w:val="0"/>
        <w:autoSpaceDN w:val="0"/>
        <w:adjustRightInd w:val="0"/>
        <w:ind w:left="2160" w:hanging="720"/>
      </w:pPr>
      <w:r>
        <w:t>3)</w:t>
      </w:r>
      <w:r>
        <w:tab/>
        <w:t xml:space="preserve">In the calculation of undergraduate instructional costs to determine appropriate tuition charges, new institutions should be excluded from the calculations during the first ten years of operation, but should maintain tuition levels equal to those of other universities within the same system; </w:t>
      </w:r>
    </w:p>
    <w:p w:rsidR="003C0D8D" w:rsidRDefault="003C0D8D" w:rsidP="00D42B56">
      <w:pPr>
        <w:widowControl w:val="0"/>
        <w:autoSpaceDE w:val="0"/>
        <w:autoSpaceDN w:val="0"/>
        <w:adjustRightInd w:val="0"/>
        <w:ind w:left="2160" w:hanging="720"/>
      </w:pPr>
    </w:p>
    <w:p w:rsidR="00D42B56" w:rsidRDefault="00D42B56" w:rsidP="00D42B56">
      <w:pPr>
        <w:widowControl w:val="0"/>
        <w:autoSpaceDE w:val="0"/>
        <w:autoSpaceDN w:val="0"/>
        <w:adjustRightInd w:val="0"/>
        <w:ind w:left="2160" w:hanging="720"/>
      </w:pPr>
      <w:r>
        <w:t>4)</w:t>
      </w:r>
      <w:r>
        <w:tab/>
        <w:t xml:space="preserve">The instructional cost base is defined as the most current undergraduate instructional cost base as determined by the unit cost study.  Instructional costs exclude State appropriations for retirement, capital improvements, research, and public service. </w:t>
      </w:r>
    </w:p>
    <w:p w:rsidR="003C0D8D" w:rsidRDefault="003C0D8D" w:rsidP="00D42B56">
      <w:pPr>
        <w:widowControl w:val="0"/>
        <w:autoSpaceDE w:val="0"/>
        <w:autoSpaceDN w:val="0"/>
        <w:adjustRightInd w:val="0"/>
        <w:ind w:left="1440" w:hanging="720"/>
      </w:pPr>
    </w:p>
    <w:p w:rsidR="00D42B56" w:rsidRDefault="00D42B56" w:rsidP="00D42B56">
      <w:pPr>
        <w:widowControl w:val="0"/>
        <w:autoSpaceDE w:val="0"/>
        <w:autoSpaceDN w:val="0"/>
        <w:adjustRightInd w:val="0"/>
        <w:ind w:left="1440" w:hanging="720"/>
      </w:pPr>
      <w:r>
        <w:t>b)</w:t>
      </w:r>
      <w:r>
        <w:tab/>
        <w:t xml:space="preserve">Tuition charges for resident, graduate students should be maintained at a level of 133 1/3 percent of the resident, undergraduate tuition charge at each system.  To this end, public university systems should raise graduate tuitions to this level concurrently in relationship to increases in undergraduate tuition charges. </w:t>
      </w:r>
    </w:p>
    <w:p w:rsidR="003C0D8D" w:rsidRDefault="003C0D8D" w:rsidP="00D42B56">
      <w:pPr>
        <w:widowControl w:val="0"/>
        <w:autoSpaceDE w:val="0"/>
        <w:autoSpaceDN w:val="0"/>
        <w:adjustRightInd w:val="0"/>
        <w:ind w:left="1440" w:hanging="720"/>
      </w:pPr>
    </w:p>
    <w:p w:rsidR="00D42B56" w:rsidRDefault="00D42B56" w:rsidP="00D42B56">
      <w:pPr>
        <w:widowControl w:val="0"/>
        <w:autoSpaceDE w:val="0"/>
        <w:autoSpaceDN w:val="0"/>
        <w:adjustRightInd w:val="0"/>
        <w:ind w:left="1440" w:hanging="720"/>
      </w:pPr>
      <w:r>
        <w:t>c)</w:t>
      </w:r>
      <w:r>
        <w:tab/>
        <w:t xml:space="preserve">Tuition levels for public schools of medicine, dentistry, and veterinary medicine should be set at the following academic year rates in fiscal year 1977 and adjusted in proportion to undergraduate tuition increases thereafter: </w:t>
      </w:r>
    </w:p>
    <w:p w:rsidR="00915367" w:rsidRDefault="00915367" w:rsidP="00D42B56">
      <w:pPr>
        <w:widowControl w:val="0"/>
        <w:autoSpaceDE w:val="0"/>
        <w:autoSpaceDN w:val="0"/>
        <w:adjustRightInd w:val="0"/>
        <w:ind w:left="1440" w:hanging="720"/>
      </w:pPr>
    </w:p>
    <w:tbl>
      <w:tblPr>
        <w:tblW w:w="0" w:type="auto"/>
        <w:tblInd w:w="2445" w:type="dxa"/>
        <w:tblLook w:val="0000" w:firstRow="0" w:lastRow="0" w:firstColumn="0" w:lastColumn="0" w:noHBand="0" w:noVBand="0"/>
      </w:tblPr>
      <w:tblGrid>
        <w:gridCol w:w="2565"/>
        <w:gridCol w:w="4566"/>
      </w:tblGrid>
      <w:tr w:rsidR="00915367">
        <w:tblPrEx>
          <w:tblCellMar>
            <w:top w:w="0" w:type="dxa"/>
            <w:bottom w:w="0" w:type="dxa"/>
          </w:tblCellMar>
        </w:tblPrEx>
        <w:tc>
          <w:tcPr>
            <w:tcW w:w="2565" w:type="dxa"/>
          </w:tcPr>
          <w:p w:rsidR="00915367" w:rsidRDefault="00915367" w:rsidP="00D42B56">
            <w:pPr>
              <w:widowControl w:val="0"/>
              <w:autoSpaceDE w:val="0"/>
              <w:autoSpaceDN w:val="0"/>
              <w:adjustRightInd w:val="0"/>
            </w:pPr>
            <w:r>
              <w:t>Medicine</w:t>
            </w:r>
          </w:p>
        </w:tc>
        <w:tc>
          <w:tcPr>
            <w:tcW w:w="4566" w:type="dxa"/>
          </w:tcPr>
          <w:p w:rsidR="00915367" w:rsidRDefault="00915367" w:rsidP="00915367">
            <w:pPr>
              <w:widowControl w:val="0"/>
              <w:autoSpaceDE w:val="0"/>
              <w:autoSpaceDN w:val="0"/>
              <w:adjustRightInd w:val="0"/>
              <w:ind w:right="3204"/>
              <w:jc w:val="right"/>
            </w:pPr>
            <w:r>
              <w:t>$1,250</w:t>
            </w:r>
          </w:p>
        </w:tc>
      </w:tr>
      <w:tr w:rsidR="00915367">
        <w:tblPrEx>
          <w:tblCellMar>
            <w:top w:w="0" w:type="dxa"/>
            <w:bottom w:w="0" w:type="dxa"/>
          </w:tblCellMar>
        </w:tblPrEx>
        <w:tc>
          <w:tcPr>
            <w:tcW w:w="2565" w:type="dxa"/>
          </w:tcPr>
          <w:p w:rsidR="00915367" w:rsidRDefault="00915367" w:rsidP="00D42B56">
            <w:pPr>
              <w:widowControl w:val="0"/>
              <w:autoSpaceDE w:val="0"/>
              <w:autoSpaceDN w:val="0"/>
              <w:adjustRightInd w:val="0"/>
            </w:pPr>
            <w:r>
              <w:t>Dentistry</w:t>
            </w:r>
          </w:p>
        </w:tc>
        <w:tc>
          <w:tcPr>
            <w:tcW w:w="4566" w:type="dxa"/>
          </w:tcPr>
          <w:p w:rsidR="00915367" w:rsidRDefault="00915367" w:rsidP="00915367">
            <w:pPr>
              <w:widowControl w:val="0"/>
              <w:autoSpaceDE w:val="0"/>
              <w:autoSpaceDN w:val="0"/>
              <w:adjustRightInd w:val="0"/>
              <w:ind w:right="3204"/>
              <w:jc w:val="right"/>
            </w:pPr>
            <w:r>
              <w:t>$900</w:t>
            </w:r>
          </w:p>
        </w:tc>
      </w:tr>
      <w:tr w:rsidR="00915367">
        <w:tblPrEx>
          <w:tblCellMar>
            <w:top w:w="0" w:type="dxa"/>
            <w:bottom w:w="0" w:type="dxa"/>
          </w:tblCellMar>
        </w:tblPrEx>
        <w:tc>
          <w:tcPr>
            <w:tcW w:w="2565" w:type="dxa"/>
          </w:tcPr>
          <w:p w:rsidR="00915367" w:rsidRDefault="00915367" w:rsidP="00D42B56">
            <w:pPr>
              <w:widowControl w:val="0"/>
              <w:autoSpaceDE w:val="0"/>
              <w:autoSpaceDN w:val="0"/>
              <w:adjustRightInd w:val="0"/>
            </w:pPr>
            <w:r>
              <w:t>Veterinary Medicine</w:t>
            </w:r>
          </w:p>
        </w:tc>
        <w:tc>
          <w:tcPr>
            <w:tcW w:w="4566" w:type="dxa"/>
          </w:tcPr>
          <w:p w:rsidR="00915367" w:rsidRDefault="00915367" w:rsidP="00915367">
            <w:pPr>
              <w:widowControl w:val="0"/>
              <w:autoSpaceDE w:val="0"/>
              <w:autoSpaceDN w:val="0"/>
              <w:adjustRightInd w:val="0"/>
              <w:ind w:right="3204"/>
              <w:jc w:val="right"/>
            </w:pPr>
            <w:r>
              <w:t>$70</w:t>
            </w:r>
          </w:p>
        </w:tc>
      </w:tr>
    </w:tbl>
    <w:p w:rsidR="00D42B56" w:rsidRDefault="00D42B56" w:rsidP="00D42B56">
      <w:pPr>
        <w:widowControl w:val="0"/>
        <w:autoSpaceDE w:val="0"/>
        <w:autoSpaceDN w:val="0"/>
        <w:adjustRightInd w:val="0"/>
        <w:ind w:left="2160" w:hanging="720"/>
      </w:pPr>
    </w:p>
    <w:p w:rsidR="00D42B56" w:rsidRDefault="00D42B56" w:rsidP="00D42B56">
      <w:pPr>
        <w:widowControl w:val="0"/>
        <w:autoSpaceDE w:val="0"/>
        <w:autoSpaceDN w:val="0"/>
        <w:adjustRightInd w:val="0"/>
        <w:ind w:left="1440" w:hanging="720"/>
      </w:pPr>
      <w:r>
        <w:t>d)</w:t>
      </w:r>
      <w:r>
        <w:tab/>
        <w:t>Tuition charges for non-resident, undergraduate students should be maintained at a level of full instructional cost calculated on the appropriate system base and tuition charges for non-resident, graduate students should be maintained at a level of 133</w:t>
      </w:r>
      <w:r w:rsidR="00915367">
        <w:t>⅓</w:t>
      </w:r>
      <w:r>
        <w:t xml:space="preserve"> percent of the non-resident undergraduate tuition charge at each system.  These charges become effective in fiscal year 1977. </w:t>
      </w:r>
    </w:p>
    <w:sectPr w:rsidR="00D42B56" w:rsidSect="00D42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2B56"/>
    <w:rsid w:val="00013A5A"/>
    <w:rsid w:val="003C0D8D"/>
    <w:rsid w:val="005C3366"/>
    <w:rsid w:val="00915367"/>
    <w:rsid w:val="00CD23E9"/>
    <w:rsid w:val="00D42B56"/>
    <w:rsid w:val="00DB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91536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15367"/>
    <w:pPr>
      <w:ind w:left="720" w:hanging="360"/>
    </w:pPr>
  </w:style>
  <w:style w:type="paragraph" w:styleId="List3">
    <w:name w:val="List 3"/>
    <w:basedOn w:val="Normal"/>
    <w:rsid w:val="00915367"/>
    <w:pPr>
      <w:ind w:left="1080" w:hanging="360"/>
    </w:pPr>
  </w:style>
  <w:style w:type="paragraph" w:styleId="BodyText">
    <w:name w:val="Body Text"/>
    <w:basedOn w:val="Normal"/>
    <w:rsid w:val="00915367"/>
    <w:pPr>
      <w:spacing w:after="120"/>
    </w:pPr>
  </w:style>
  <w:style w:type="paragraph" w:styleId="BodyTextIndent">
    <w:name w:val="Body Text Indent"/>
    <w:basedOn w:val="Normal"/>
    <w:rsid w:val="0091536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915367"/>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15367"/>
    <w:pPr>
      <w:ind w:left="720" w:hanging="360"/>
    </w:pPr>
  </w:style>
  <w:style w:type="paragraph" w:styleId="List3">
    <w:name w:val="List 3"/>
    <w:basedOn w:val="Normal"/>
    <w:rsid w:val="00915367"/>
    <w:pPr>
      <w:ind w:left="1080" w:hanging="360"/>
    </w:pPr>
  </w:style>
  <w:style w:type="paragraph" w:styleId="BodyText">
    <w:name w:val="Body Text"/>
    <w:basedOn w:val="Normal"/>
    <w:rsid w:val="00915367"/>
    <w:pPr>
      <w:spacing w:after="120"/>
    </w:pPr>
  </w:style>
  <w:style w:type="paragraph" w:styleId="BodyTextIndent">
    <w:name w:val="Body Text Indent"/>
    <w:basedOn w:val="Normal"/>
    <w:rsid w:val="0091536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2012-06-22T01:09:00Z</dcterms:created>
  <dcterms:modified xsi:type="dcterms:W3CDTF">2012-06-22T01:09:00Z</dcterms:modified>
</cp:coreProperties>
</file>