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FA" w:rsidRDefault="004023FA" w:rsidP="004023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3FA" w:rsidRDefault="004023FA" w:rsidP="004023FA">
      <w:pPr>
        <w:widowControl w:val="0"/>
        <w:autoSpaceDE w:val="0"/>
        <w:autoSpaceDN w:val="0"/>
        <w:adjustRightInd w:val="0"/>
        <w:jc w:val="center"/>
      </w:pPr>
      <w:r>
        <w:t>SUBPART A:  CAPITAL IMPROVEMENT GRANTS FOR LABORATORY,</w:t>
      </w:r>
    </w:p>
    <w:p w:rsidR="004023FA" w:rsidRDefault="004023FA" w:rsidP="004023FA">
      <w:pPr>
        <w:widowControl w:val="0"/>
        <w:autoSpaceDE w:val="0"/>
        <w:autoSpaceDN w:val="0"/>
        <w:adjustRightInd w:val="0"/>
        <w:jc w:val="center"/>
      </w:pPr>
      <w:r>
        <w:t>RESEARCH AND INSTRUCTIONAL AREA RENOVATION</w:t>
      </w:r>
    </w:p>
    <w:sectPr w:rsidR="004023FA" w:rsidSect="00402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3FA"/>
    <w:rsid w:val="00313F1A"/>
    <w:rsid w:val="004023FA"/>
    <w:rsid w:val="005C3366"/>
    <w:rsid w:val="007063D6"/>
    <w:rsid w:val="00C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CAPITAL IMPROVEMENT GRANTS FOR LABORATORY,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CAPITAL IMPROVEMENT GRANTS FOR LABORATORY,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