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34" w:rsidRDefault="00625B34" w:rsidP="00625B34">
      <w:pPr>
        <w:rPr>
          <w:sz w:val="24"/>
        </w:rPr>
      </w:pPr>
    </w:p>
    <w:p w:rsidR="00625B34" w:rsidRPr="00625B34" w:rsidRDefault="00625B34" w:rsidP="00625B34">
      <w:pPr>
        <w:rPr>
          <w:b/>
          <w:sz w:val="24"/>
        </w:rPr>
      </w:pPr>
      <w:r w:rsidRPr="00625B34">
        <w:rPr>
          <w:b/>
          <w:sz w:val="24"/>
        </w:rPr>
        <w:t>Section 910.60  Schedule of Fees</w:t>
      </w:r>
    </w:p>
    <w:p w:rsidR="00625B34" w:rsidRPr="00625B34" w:rsidRDefault="00625B34" w:rsidP="00625B34">
      <w:pPr>
        <w:rPr>
          <w:rFonts w:eastAsia="Calibri"/>
          <w:sz w:val="24"/>
        </w:rPr>
      </w:pPr>
    </w:p>
    <w:p w:rsidR="00625B34" w:rsidRPr="00625B34" w:rsidRDefault="00625B34" w:rsidP="00625B34">
      <w:pPr>
        <w:rPr>
          <w:rFonts w:eastAsia="Calibri"/>
          <w:sz w:val="24"/>
        </w:rPr>
      </w:pPr>
      <w:r w:rsidRPr="00625B34">
        <w:rPr>
          <w:rFonts w:eastAsia="Calibri"/>
          <w:sz w:val="24"/>
        </w:rPr>
        <w:t xml:space="preserve">Fees are assessed for providing access to data files or producing studies, data products or analyses of data.  </w:t>
      </w:r>
      <w:r w:rsidR="00675426">
        <w:rPr>
          <w:rFonts w:eastAsia="Calibri"/>
          <w:sz w:val="24"/>
        </w:rPr>
        <w:t>The following is the</w:t>
      </w:r>
      <w:r w:rsidRPr="00625B34">
        <w:rPr>
          <w:rFonts w:eastAsia="Calibri"/>
          <w:sz w:val="24"/>
        </w:rPr>
        <w:t xml:space="preserve"> schedule of fees for datasets and products</w:t>
      </w:r>
      <w:r w:rsidR="00675426">
        <w:rPr>
          <w:rFonts w:eastAsia="Calibri"/>
          <w:sz w:val="24"/>
        </w:rPr>
        <w:t>:</w:t>
      </w:r>
      <w:r w:rsidRPr="00625B34">
        <w:rPr>
          <w:rFonts w:eastAsia="Calibri"/>
          <w:sz w:val="24"/>
        </w:rPr>
        <w:t xml:space="preserve"> </w:t>
      </w:r>
    </w:p>
    <w:p w:rsidR="00625B34" w:rsidRDefault="00625B34" w:rsidP="00625B34">
      <w:pPr>
        <w:rPr>
          <w:sz w:val="24"/>
        </w:rPr>
      </w:pPr>
    </w:p>
    <w:p w:rsidR="00625B34" w:rsidRDefault="00625B34" w:rsidP="00625B34">
      <w:pPr>
        <w:ind w:firstLine="720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</w:r>
      <w:r w:rsidRPr="00625B34">
        <w:rPr>
          <w:sz w:val="24"/>
        </w:rPr>
        <w:t>Schedule of Fees</w:t>
      </w:r>
    </w:p>
    <w:p w:rsidR="00625B34" w:rsidRPr="00625B34" w:rsidRDefault="00625B34" w:rsidP="00625B34">
      <w:pPr>
        <w:ind w:firstLine="720"/>
        <w:rPr>
          <w:sz w:val="24"/>
        </w:rPr>
      </w:pPr>
    </w:p>
    <w:tbl>
      <w:tblPr>
        <w:tblW w:w="0" w:type="auto"/>
        <w:tblInd w:w="2070" w:type="dxa"/>
        <w:tblLayout w:type="fixed"/>
        <w:tblLook w:val="04A0" w:firstRow="1" w:lastRow="0" w:firstColumn="1" w:lastColumn="0" w:noHBand="0" w:noVBand="1"/>
      </w:tblPr>
      <w:tblGrid>
        <w:gridCol w:w="2997"/>
        <w:gridCol w:w="243"/>
        <w:gridCol w:w="837"/>
      </w:tblGrid>
      <w:tr w:rsidR="00CA52A1" w:rsidRPr="00625B34" w:rsidTr="00CA52A1">
        <w:trPr>
          <w:trHeight w:val="301"/>
        </w:trPr>
        <w:tc>
          <w:tcPr>
            <w:tcW w:w="2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2A1" w:rsidRPr="00CA52A1" w:rsidRDefault="00CA52A1" w:rsidP="00CA52A1">
            <w:pPr>
              <w:ind w:left="-99" w:right="-54"/>
              <w:jc w:val="center"/>
              <w:rPr>
                <w:sz w:val="24"/>
              </w:rPr>
            </w:pPr>
            <w:r w:rsidRPr="00CA52A1">
              <w:rPr>
                <w:sz w:val="24"/>
              </w:rPr>
              <w:t>Number of Records Processed</w:t>
            </w:r>
          </w:p>
        </w:tc>
        <w:tc>
          <w:tcPr>
            <w:tcW w:w="243" w:type="dxa"/>
          </w:tcPr>
          <w:p w:rsidR="00CA52A1" w:rsidRPr="00C154CD" w:rsidRDefault="00CA52A1" w:rsidP="00C154CD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2A1" w:rsidRPr="00CA52A1" w:rsidRDefault="00CA52A1" w:rsidP="00CA52A1">
            <w:pPr>
              <w:ind w:left="-81" w:right="-108"/>
              <w:jc w:val="center"/>
              <w:rPr>
                <w:sz w:val="24"/>
              </w:rPr>
            </w:pPr>
            <w:r w:rsidRPr="00CA52A1">
              <w:rPr>
                <w:sz w:val="24"/>
              </w:rPr>
              <w:t>Fee</w:t>
            </w:r>
          </w:p>
        </w:tc>
      </w:tr>
      <w:tr w:rsidR="00CA52A1" w:rsidRPr="00625B34" w:rsidTr="00CA52A1">
        <w:trPr>
          <w:trHeight w:val="301"/>
        </w:trPr>
        <w:tc>
          <w:tcPr>
            <w:tcW w:w="29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2A1" w:rsidRPr="00625B34" w:rsidRDefault="00CA52A1" w:rsidP="006F338B">
            <w:pPr>
              <w:ind w:left="405" w:right="-54"/>
              <w:rPr>
                <w:sz w:val="24"/>
              </w:rPr>
            </w:pPr>
            <w:r w:rsidRPr="00625B34">
              <w:rPr>
                <w:sz w:val="24"/>
              </w:rPr>
              <w:t>Up to 24,000</w:t>
            </w:r>
          </w:p>
        </w:tc>
        <w:tc>
          <w:tcPr>
            <w:tcW w:w="243" w:type="dxa"/>
          </w:tcPr>
          <w:p w:rsidR="00CA52A1" w:rsidRPr="00C154CD" w:rsidRDefault="00CA52A1" w:rsidP="00675426">
            <w:pPr>
              <w:jc w:val="right"/>
              <w:rPr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2A1" w:rsidRPr="00625B34" w:rsidRDefault="00CA52A1" w:rsidP="00CA52A1">
            <w:pPr>
              <w:ind w:left="-81" w:right="-81"/>
              <w:jc w:val="right"/>
              <w:rPr>
                <w:sz w:val="24"/>
              </w:rPr>
            </w:pPr>
            <w:r w:rsidRPr="00625B34">
              <w:rPr>
                <w:sz w:val="24"/>
              </w:rPr>
              <w:t>$2,000</w:t>
            </w:r>
          </w:p>
        </w:tc>
      </w:tr>
      <w:tr w:rsidR="00CA52A1" w:rsidRPr="00625B34" w:rsidTr="00CA52A1">
        <w:trPr>
          <w:trHeight w:val="301"/>
        </w:trPr>
        <w:tc>
          <w:tcPr>
            <w:tcW w:w="2997" w:type="dxa"/>
            <w:shd w:val="clear" w:color="auto" w:fill="auto"/>
            <w:vAlign w:val="center"/>
          </w:tcPr>
          <w:p w:rsidR="00CA52A1" w:rsidRPr="00625B34" w:rsidRDefault="00CA52A1" w:rsidP="006F338B">
            <w:pPr>
              <w:ind w:left="405" w:right="-54"/>
              <w:rPr>
                <w:sz w:val="24"/>
              </w:rPr>
            </w:pPr>
            <w:r w:rsidRPr="00625B34">
              <w:rPr>
                <w:sz w:val="24"/>
              </w:rPr>
              <w:t>24,001 to 80,000</w:t>
            </w:r>
          </w:p>
        </w:tc>
        <w:tc>
          <w:tcPr>
            <w:tcW w:w="243" w:type="dxa"/>
          </w:tcPr>
          <w:p w:rsidR="00CA52A1" w:rsidRPr="00C154CD" w:rsidRDefault="00CA52A1" w:rsidP="00675426">
            <w:pPr>
              <w:jc w:val="right"/>
              <w:rPr>
                <w:sz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CA52A1" w:rsidRPr="00625B34" w:rsidRDefault="00CA52A1" w:rsidP="00CA52A1">
            <w:pPr>
              <w:ind w:left="-81" w:right="-81"/>
              <w:jc w:val="right"/>
              <w:rPr>
                <w:sz w:val="24"/>
              </w:rPr>
            </w:pPr>
            <w:r w:rsidRPr="00625B34">
              <w:rPr>
                <w:sz w:val="24"/>
              </w:rPr>
              <w:t>$4,000</w:t>
            </w:r>
          </w:p>
        </w:tc>
      </w:tr>
      <w:tr w:rsidR="00CA52A1" w:rsidRPr="00625B34" w:rsidTr="00CA52A1">
        <w:trPr>
          <w:trHeight w:val="301"/>
        </w:trPr>
        <w:tc>
          <w:tcPr>
            <w:tcW w:w="2997" w:type="dxa"/>
            <w:shd w:val="clear" w:color="auto" w:fill="auto"/>
            <w:vAlign w:val="center"/>
          </w:tcPr>
          <w:p w:rsidR="00CA52A1" w:rsidRPr="00625B34" w:rsidRDefault="00CA52A1" w:rsidP="006F338B">
            <w:pPr>
              <w:ind w:left="405" w:right="-54"/>
              <w:rPr>
                <w:sz w:val="24"/>
              </w:rPr>
            </w:pPr>
            <w:r w:rsidRPr="00625B34">
              <w:rPr>
                <w:sz w:val="24"/>
              </w:rPr>
              <w:t>80,001 to 300,000</w:t>
            </w:r>
          </w:p>
        </w:tc>
        <w:tc>
          <w:tcPr>
            <w:tcW w:w="243" w:type="dxa"/>
          </w:tcPr>
          <w:p w:rsidR="00CA52A1" w:rsidRPr="00C154CD" w:rsidRDefault="00CA52A1" w:rsidP="00675426">
            <w:pPr>
              <w:jc w:val="right"/>
              <w:rPr>
                <w:sz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CA52A1" w:rsidRPr="00625B34" w:rsidRDefault="00CA52A1" w:rsidP="00CA52A1">
            <w:pPr>
              <w:ind w:left="-81" w:right="-81"/>
              <w:jc w:val="right"/>
              <w:rPr>
                <w:sz w:val="24"/>
              </w:rPr>
            </w:pPr>
            <w:r w:rsidRPr="00625B34">
              <w:rPr>
                <w:sz w:val="24"/>
              </w:rPr>
              <w:t>$8,000</w:t>
            </w:r>
          </w:p>
        </w:tc>
      </w:tr>
      <w:tr w:rsidR="00CA52A1" w:rsidRPr="00625B34" w:rsidTr="00CA52A1">
        <w:trPr>
          <w:trHeight w:val="301"/>
        </w:trPr>
        <w:tc>
          <w:tcPr>
            <w:tcW w:w="2997" w:type="dxa"/>
            <w:shd w:val="clear" w:color="auto" w:fill="auto"/>
            <w:vAlign w:val="center"/>
          </w:tcPr>
          <w:p w:rsidR="00CA52A1" w:rsidRPr="00625B34" w:rsidRDefault="00CA52A1" w:rsidP="006F338B">
            <w:pPr>
              <w:ind w:left="405" w:right="-54"/>
              <w:rPr>
                <w:sz w:val="24"/>
              </w:rPr>
            </w:pPr>
            <w:r w:rsidRPr="00625B34">
              <w:rPr>
                <w:sz w:val="24"/>
              </w:rPr>
              <w:t>300,001 to 1,000,000</w:t>
            </w:r>
          </w:p>
        </w:tc>
        <w:tc>
          <w:tcPr>
            <w:tcW w:w="243" w:type="dxa"/>
          </w:tcPr>
          <w:p w:rsidR="00CA52A1" w:rsidRPr="00C154CD" w:rsidRDefault="00CA52A1" w:rsidP="00675426">
            <w:pPr>
              <w:jc w:val="right"/>
              <w:rPr>
                <w:sz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CA52A1" w:rsidRPr="00625B34" w:rsidRDefault="00CA52A1" w:rsidP="00CA52A1">
            <w:pPr>
              <w:ind w:left="-81" w:right="-81"/>
              <w:jc w:val="right"/>
              <w:rPr>
                <w:sz w:val="24"/>
              </w:rPr>
            </w:pPr>
            <w:r w:rsidRPr="00625B34">
              <w:rPr>
                <w:sz w:val="24"/>
              </w:rPr>
              <w:t>$15,000</w:t>
            </w:r>
          </w:p>
        </w:tc>
      </w:tr>
    </w:tbl>
    <w:p w:rsidR="00625B34" w:rsidRPr="00625B34" w:rsidRDefault="00625B34" w:rsidP="00625B34">
      <w:pPr>
        <w:rPr>
          <w:rFonts w:eastAsia="Calibri"/>
          <w:sz w:val="24"/>
        </w:rPr>
      </w:pPr>
    </w:p>
    <w:p w:rsidR="00625B34" w:rsidRDefault="00625B34" w:rsidP="00625B34">
      <w:pPr>
        <w:ind w:left="1440" w:hanging="720"/>
        <w:rPr>
          <w:rFonts w:eastAsia="Calibri"/>
          <w:sz w:val="24"/>
        </w:rPr>
      </w:pPr>
      <w:r>
        <w:rPr>
          <w:rFonts w:eastAsia="Calibri"/>
          <w:sz w:val="24"/>
        </w:rPr>
        <w:t>b)</w:t>
      </w:r>
      <w:r>
        <w:rPr>
          <w:rFonts w:eastAsia="Calibri"/>
          <w:sz w:val="24"/>
        </w:rPr>
        <w:tab/>
      </w:r>
      <w:r w:rsidRPr="00625B34">
        <w:rPr>
          <w:rFonts w:eastAsia="Calibri"/>
          <w:sz w:val="24"/>
        </w:rPr>
        <w:t>In addition to standard data product f</w:t>
      </w:r>
      <w:r w:rsidR="00325A62">
        <w:rPr>
          <w:rFonts w:eastAsia="Calibri"/>
          <w:sz w:val="24"/>
        </w:rPr>
        <w:t xml:space="preserve">ees, the Board will assess a 30% </w:t>
      </w:r>
      <w:r w:rsidRPr="00625B34">
        <w:rPr>
          <w:rFonts w:eastAsia="Calibri"/>
          <w:sz w:val="24"/>
        </w:rPr>
        <w:t>surcharge for complex requests related to longitudinal analysis and generation of outcomes measures.</w:t>
      </w:r>
    </w:p>
    <w:sectPr w:rsidR="00625B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C0" w:rsidRDefault="003400C0">
      <w:r>
        <w:separator/>
      </w:r>
    </w:p>
  </w:endnote>
  <w:endnote w:type="continuationSeparator" w:id="0">
    <w:p w:rsidR="003400C0" w:rsidRDefault="0034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C0" w:rsidRDefault="003400C0">
      <w:r>
        <w:separator/>
      </w:r>
    </w:p>
  </w:footnote>
  <w:footnote w:type="continuationSeparator" w:id="0">
    <w:p w:rsidR="003400C0" w:rsidRDefault="00340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E657C"/>
    <w:multiLevelType w:val="hybridMultilevel"/>
    <w:tmpl w:val="09FA4088"/>
    <w:lvl w:ilvl="0" w:tplc="BCC2F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A62"/>
    <w:rsid w:val="00327B81"/>
    <w:rsid w:val="003303A2"/>
    <w:rsid w:val="00332EB2"/>
    <w:rsid w:val="00335723"/>
    <w:rsid w:val="00337BB9"/>
    <w:rsid w:val="00337CEB"/>
    <w:rsid w:val="003400C0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5B3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5426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38B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4CD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2A1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5B8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450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2DD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569A0-E614-4B5F-9082-D1FC746A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34"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aliases w:val="Indent"/>
    <w:basedOn w:val="Normal"/>
    <w:uiPriority w:val="34"/>
    <w:qFormat/>
    <w:rsid w:val="00625B34"/>
    <w:pPr>
      <w:ind w:left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Marines, Debra L.</cp:lastModifiedBy>
  <cp:revision>13</cp:revision>
  <dcterms:created xsi:type="dcterms:W3CDTF">2017-12-01T16:55:00Z</dcterms:created>
  <dcterms:modified xsi:type="dcterms:W3CDTF">2018-07-02T14:52:00Z</dcterms:modified>
</cp:coreProperties>
</file>