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583" w:rsidRDefault="00763583" w:rsidP="007635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3583" w:rsidRDefault="00763583" w:rsidP="007635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650.50  Revision and Renewal of Charters</w:t>
      </w:r>
      <w:r>
        <w:t xml:space="preserve"> </w:t>
      </w:r>
    </w:p>
    <w:p w:rsidR="00763583" w:rsidRDefault="00763583" w:rsidP="00763583">
      <w:pPr>
        <w:widowControl w:val="0"/>
        <w:autoSpaceDE w:val="0"/>
        <w:autoSpaceDN w:val="0"/>
        <w:adjustRightInd w:val="0"/>
      </w:pPr>
    </w:p>
    <w:p w:rsidR="00763583" w:rsidRDefault="00763583" w:rsidP="00763583">
      <w:pPr>
        <w:widowControl w:val="0"/>
        <w:autoSpaceDE w:val="0"/>
        <w:autoSpaceDN w:val="0"/>
        <w:adjustRightInd w:val="0"/>
      </w:pPr>
      <w:r>
        <w:rPr>
          <w:i/>
          <w:iCs/>
        </w:rPr>
        <w:t>No material revision to a previously certified contract or a renewal shall be effective unless and until the State Board certifies that the revision or renewal is consistent with the provisions</w:t>
      </w:r>
      <w:r>
        <w:t xml:space="preserve"> of Article 27A (Section 27A-6(e) of the School Code).  Proposed revisions or renewals of a charter shall be</w:t>
      </w:r>
      <w:r w:rsidR="005E4832">
        <w:t xml:space="preserve"> submitted to the State Board</w:t>
      </w:r>
      <w:r>
        <w:t xml:space="preserve"> Education in the manner set forth in this Part. </w:t>
      </w:r>
    </w:p>
    <w:sectPr w:rsidR="00763583" w:rsidSect="007635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3583"/>
    <w:rsid w:val="005C3366"/>
    <w:rsid w:val="005E4832"/>
    <w:rsid w:val="00763583"/>
    <w:rsid w:val="00901B17"/>
    <w:rsid w:val="00B60A65"/>
    <w:rsid w:val="00F8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