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A6" w:rsidRDefault="006726A6" w:rsidP="00A158B9">
      <w:pPr>
        <w:ind w:right="-600"/>
        <w:rPr>
          <w:b/>
        </w:rPr>
      </w:pPr>
      <w:bookmarkStart w:id="0" w:name="_GoBack"/>
      <w:bookmarkEnd w:id="0"/>
    </w:p>
    <w:p w:rsidR="00A158B9" w:rsidRPr="00A158B9" w:rsidRDefault="00A158B9" w:rsidP="00A158B9">
      <w:pPr>
        <w:ind w:right="-600"/>
        <w:rPr>
          <w:b/>
        </w:rPr>
      </w:pPr>
      <w:r w:rsidRPr="00A158B9">
        <w:rPr>
          <w:b/>
        </w:rPr>
        <w:t>Section 475.310  Hearings</w:t>
      </w:r>
    </w:p>
    <w:p w:rsidR="00A158B9" w:rsidRPr="00A158B9" w:rsidRDefault="00A158B9" w:rsidP="00A158B9">
      <w:pPr>
        <w:ind w:right="-600"/>
      </w:pPr>
    </w:p>
    <w:p w:rsidR="00A158B9" w:rsidRPr="00A158B9" w:rsidRDefault="00A158B9" w:rsidP="00A158B9">
      <w:pPr>
        <w:ind w:right="-600"/>
      </w:pPr>
      <w:r w:rsidRPr="00A158B9">
        <w:t xml:space="preserve">All of the requirements set forth in Section 475.110 of this Part shall apply, provided, however, that each party has only one hour to present its case unless the hearing officer determines that more time is needed for any party to present adequate evidence and testimony.  </w:t>
      </w:r>
    </w:p>
    <w:sectPr w:rsidR="00A158B9" w:rsidRPr="00A158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343" w:rsidRDefault="00186343">
      <w:r>
        <w:separator/>
      </w:r>
    </w:p>
  </w:endnote>
  <w:endnote w:type="continuationSeparator" w:id="0">
    <w:p w:rsidR="00186343" w:rsidRDefault="0018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343" w:rsidRDefault="00186343">
      <w:r>
        <w:separator/>
      </w:r>
    </w:p>
  </w:footnote>
  <w:footnote w:type="continuationSeparator" w:id="0">
    <w:p w:rsidR="00186343" w:rsidRDefault="00186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8B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34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D29"/>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4104"/>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6A6"/>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8B9"/>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66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65979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2012-06-22T01:37:00Z</dcterms:created>
  <dcterms:modified xsi:type="dcterms:W3CDTF">2012-06-22T01:37:00Z</dcterms:modified>
</cp:coreProperties>
</file>