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77" w:rsidRDefault="00445F77" w:rsidP="00445F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F77" w:rsidRDefault="00445F77" w:rsidP="00445F77">
      <w:pPr>
        <w:widowControl w:val="0"/>
        <w:autoSpaceDE w:val="0"/>
        <w:autoSpaceDN w:val="0"/>
        <w:adjustRightInd w:val="0"/>
      </w:pPr>
      <w:r>
        <w:t>SOURCE:  Emergency rules adopted at 9 Ill. Reg. 15978, effective October 18, 1985, for a maximum of 150 days; emergency expired March 17, 1986; adopted at 11 Ill. Reg. 6418, effective March 31, 1987; amended at 14 Ill. Reg. 10320, effective June 19, 1990; amended at 25 Ill. Reg. 2399, effective January 25, 2001; amended at 26 Ill. Reg. 88</w:t>
      </w:r>
      <w:r w:rsidR="00762444">
        <w:t xml:space="preserve">2, effective January 15, 2002. </w:t>
      </w:r>
    </w:p>
    <w:sectPr w:rsidR="00445F77" w:rsidSect="00445F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F77"/>
    <w:rsid w:val="0020720D"/>
    <w:rsid w:val="00445F77"/>
    <w:rsid w:val="005C3366"/>
    <w:rsid w:val="00762444"/>
    <w:rsid w:val="00BA5EF6"/>
    <w:rsid w:val="00C7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