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C67" w:rsidRDefault="003B3C67" w:rsidP="003B3C67">
      <w:pPr>
        <w:rPr>
          <w:rFonts w:ascii="Times New Roman" w:hAnsi="Times New Roman"/>
          <w:szCs w:val="24"/>
        </w:rPr>
      </w:pPr>
    </w:p>
    <w:p w:rsidR="003B3C67" w:rsidRDefault="003B3C67" w:rsidP="003B3C67">
      <w:pPr>
        <w:rPr>
          <w:rFonts w:ascii="Times New Roman" w:hAnsi="Times New Roman"/>
          <w:b/>
          <w:szCs w:val="24"/>
        </w:rPr>
      </w:pPr>
      <w:r>
        <w:rPr>
          <w:rFonts w:ascii="Times New Roman" w:hAnsi="Times New Roman"/>
          <w:b/>
          <w:szCs w:val="24"/>
        </w:rPr>
        <w:t xml:space="preserve">Section 151.210  Definitions </w:t>
      </w:r>
    </w:p>
    <w:p w:rsidR="003B3C67" w:rsidRDefault="003B3C67" w:rsidP="003B3C67">
      <w:pPr>
        <w:rPr>
          <w:rFonts w:ascii="Times New Roman" w:hAnsi="Times New Roman"/>
          <w:szCs w:val="24"/>
        </w:rPr>
      </w:pPr>
    </w:p>
    <w:p w:rsidR="003B3C67" w:rsidRDefault="003B3C67" w:rsidP="003B3C67">
      <w:pPr>
        <w:rPr>
          <w:rFonts w:ascii="Times New Roman" w:hAnsi="Times New Roman"/>
          <w:szCs w:val="24"/>
        </w:rPr>
      </w:pPr>
      <w:r>
        <w:rPr>
          <w:rFonts w:ascii="Times New Roman" w:hAnsi="Times New Roman"/>
          <w:szCs w:val="24"/>
        </w:rPr>
        <w:t xml:space="preserve">As used in this Subpart: </w:t>
      </w:r>
    </w:p>
    <w:p w:rsidR="003B3C67" w:rsidRDefault="003B3C67" w:rsidP="003B3C67">
      <w:pPr>
        <w:rPr>
          <w:rFonts w:ascii="Times New Roman" w:hAnsi="Times New Roman"/>
          <w:szCs w:val="24"/>
        </w:rPr>
      </w:pPr>
    </w:p>
    <w:p w:rsidR="003B3C67" w:rsidRDefault="003B3C67" w:rsidP="003B3C67">
      <w:pPr>
        <w:ind w:left="1440"/>
        <w:rPr>
          <w:rFonts w:ascii="Times New Roman" w:hAnsi="Times New Roman"/>
          <w:szCs w:val="24"/>
        </w:rPr>
      </w:pPr>
      <w:r>
        <w:rPr>
          <w:rFonts w:ascii="Times New Roman" w:hAnsi="Times New Roman"/>
          <w:szCs w:val="24"/>
        </w:rPr>
        <w:t>"Energy efficiency project" means any improvement, repair, alteration or betterment of any building or facility owned or operated by an eligible applicant as set forth in Section 151.220, or any equipment, fixture or furnishing to be added to or used in any building or facility, subject to the building code authorized in Section 2-3.12 of the School Code [105 ILCS 5/2-3.12] (see 23 Ill. Adm. Code 180), that is designed to reduce energy consumption and may include, without limitation, one or more of the following:</w:t>
      </w:r>
    </w:p>
    <w:p w:rsidR="003B3C67" w:rsidRDefault="003B3C67" w:rsidP="003B3C67">
      <w:pPr>
        <w:rPr>
          <w:rFonts w:ascii="Times New Roman" w:hAnsi="Times New Roman"/>
          <w:szCs w:val="24"/>
        </w:rPr>
      </w:pPr>
    </w:p>
    <w:p w:rsidR="003B3C67" w:rsidRDefault="003B3C67" w:rsidP="003B3C67">
      <w:pPr>
        <w:ind w:left="2160"/>
        <w:rPr>
          <w:rFonts w:ascii="Times New Roman" w:hAnsi="Times New Roman"/>
          <w:szCs w:val="24"/>
        </w:rPr>
      </w:pPr>
      <w:r>
        <w:rPr>
          <w:rFonts w:ascii="Times New Roman" w:hAnsi="Times New Roman"/>
          <w:szCs w:val="24"/>
        </w:rPr>
        <w:t>Insulation of the building envelope, structure or systems within the building;</w:t>
      </w:r>
    </w:p>
    <w:p w:rsidR="003B3C67" w:rsidRDefault="003B3C67" w:rsidP="003B3C67">
      <w:pPr>
        <w:rPr>
          <w:rFonts w:ascii="Times New Roman" w:hAnsi="Times New Roman"/>
          <w:szCs w:val="24"/>
        </w:rPr>
      </w:pPr>
    </w:p>
    <w:p w:rsidR="003B3C67" w:rsidRDefault="003B3C67" w:rsidP="003B3C67">
      <w:pPr>
        <w:ind w:left="2160"/>
        <w:rPr>
          <w:rFonts w:ascii="Times New Roman" w:hAnsi="Times New Roman"/>
          <w:szCs w:val="24"/>
        </w:rPr>
      </w:pPr>
      <w:r>
        <w:rPr>
          <w:rFonts w:ascii="Times New Roman" w:hAnsi="Times New Roman"/>
          <w:szCs w:val="24"/>
        </w:rPr>
        <w:t>Storm windows or doors, caulking or weather stripping, multi-glazed windows or doors, heat absorbing or heat reflective glazed and coated window or door systems, additional glazing, reductions in glass area, or other window and door system modifications that reduce energy consumption;</w:t>
      </w:r>
    </w:p>
    <w:p w:rsidR="003B3C67" w:rsidRDefault="003B3C67" w:rsidP="003B3C67">
      <w:pPr>
        <w:rPr>
          <w:rFonts w:ascii="Times New Roman" w:hAnsi="Times New Roman"/>
          <w:szCs w:val="24"/>
        </w:rPr>
      </w:pPr>
    </w:p>
    <w:p w:rsidR="003B3C67" w:rsidRDefault="003B3C67" w:rsidP="003B3C67">
      <w:pPr>
        <w:ind w:left="2160"/>
        <w:rPr>
          <w:rFonts w:ascii="Times New Roman" w:hAnsi="Times New Roman"/>
          <w:szCs w:val="24"/>
        </w:rPr>
      </w:pPr>
      <w:r>
        <w:rPr>
          <w:rFonts w:ascii="Times New Roman" w:hAnsi="Times New Roman"/>
          <w:szCs w:val="24"/>
        </w:rPr>
        <w:t>Automated or computerized energy control systems;</w:t>
      </w:r>
    </w:p>
    <w:p w:rsidR="003B3C67" w:rsidRDefault="003B3C67" w:rsidP="003B3C67">
      <w:pPr>
        <w:rPr>
          <w:rFonts w:ascii="Times New Roman" w:hAnsi="Times New Roman"/>
          <w:szCs w:val="24"/>
        </w:rPr>
      </w:pPr>
    </w:p>
    <w:p w:rsidR="003B3C67" w:rsidRDefault="003B3C67" w:rsidP="003B3C67">
      <w:pPr>
        <w:ind w:left="2160"/>
        <w:rPr>
          <w:rFonts w:ascii="Times New Roman" w:hAnsi="Times New Roman"/>
          <w:szCs w:val="24"/>
        </w:rPr>
      </w:pPr>
      <w:r>
        <w:rPr>
          <w:rFonts w:ascii="Times New Roman" w:hAnsi="Times New Roman"/>
          <w:szCs w:val="24"/>
        </w:rPr>
        <w:t>Heating, ventilating, air conditioning, or HVAC system repairs or replacements (this does not include initial installations);</w:t>
      </w:r>
    </w:p>
    <w:p w:rsidR="003B3C67" w:rsidRDefault="003B3C67" w:rsidP="003B3C67">
      <w:pPr>
        <w:rPr>
          <w:rFonts w:ascii="Times New Roman" w:hAnsi="Times New Roman"/>
          <w:szCs w:val="24"/>
        </w:rPr>
      </w:pPr>
    </w:p>
    <w:p w:rsidR="003B3C67" w:rsidRDefault="003B3C67" w:rsidP="003B3C67">
      <w:pPr>
        <w:ind w:left="2160"/>
        <w:rPr>
          <w:rFonts w:ascii="Times New Roman" w:hAnsi="Times New Roman"/>
          <w:szCs w:val="24"/>
        </w:rPr>
      </w:pPr>
      <w:r>
        <w:rPr>
          <w:rFonts w:ascii="Times New Roman" w:hAnsi="Times New Roman"/>
          <w:szCs w:val="24"/>
        </w:rPr>
        <w:t>Replacement or modification of lighting fixtures to increase the energy efficiency of the lighting system without increasing the overall illumination of a facility, unless an increase in illumination is necessary to conform to the applicable building code for the lighting system after the proposed modifications are made;</w:t>
      </w:r>
    </w:p>
    <w:p w:rsidR="003B3C67" w:rsidRDefault="003B3C67" w:rsidP="003B3C67">
      <w:pPr>
        <w:rPr>
          <w:rFonts w:ascii="Times New Roman" w:hAnsi="Times New Roman"/>
          <w:szCs w:val="24"/>
        </w:rPr>
      </w:pPr>
    </w:p>
    <w:p w:rsidR="003B3C67" w:rsidRDefault="003B3C67" w:rsidP="003B3C67">
      <w:pPr>
        <w:ind w:left="2160"/>
        <w:rPr>
          <w:rFonts w:ascii="Times New Roman" w:hAnsi="Times New Roman"/>
          <w:szCs w:val="24"/>
        </w:rPr>
      </w:pPr>
      <w:r>
        <w:rPr>
          <w:rFonts w:ascii="Times New Roman" w:hAnsi="Times New Roman"/>
          <w:szCs w:val="24"/>
        </w:rPr>
        <w:t>Energy recovery systems;</w:t>
      </w:r>
    </w:p>
    <w:p w:rsidR="003B3C67" w:rsidRDefault="003B3C67" w:rsidP="003B3C67">
      <w:pPr>
        <w:rPr>
          <w:rFonts w:ascii="Times New Roman" w:hAnsi="Times New Roman"/>
          <w:szCs w:val="24"/>
        </w:rPr>
      </w:pPr>
    </w:p>
    <w:p w:rsidR="003B3C67" w:rsidRDefault="003B3C67" w:rsidP="003B3C67">
      <w:pPr>
        <w:ind w:left="2160"/>
        <w:rPr>
          <w:rFonts w:ascii="Times New Roman" w:hAnsi="Times New Roman"/>
          <w:szCs w:val="24"/>
        </w:rPr>
      </w:pPr>
      <w:r>
        <w:rPr>
          <w:rFonts w:ascii="Times New Roman" w:hAnsi="Times New Roman"/>
          <w:szCs w:val="24"/>
        </w:rPr>
        <w:t>Energy conservation measures that provide long-term cost reductions;</w:t>
      </w:r>
    </w:p>
    <w:p w:rsidR="003B3C67" w:rsidRDefault="003B3C67" w:rsidP="003B3C67">
      <w:pPr>
        <w:rPr>
          <w:rFonts w:ascii="Times New Roman" w:hAnsi="Times New Roman"/>
          <w:szCs w:val="24"/>
        </w:rPr>
      </w:pPr>
    </w:p>
    <w:p w:rsidR="003B3C67" w:rsidRDefault="003B3C67" w:rsidP="003B3C67">
      <w:pPr>
        <w:ind w:left="2160"/>
        <w:rPr>
          <w:rFonts w:ascii="Times New Roman" w:hAnsi="Times New Roman"/>
          <w:szCs w:val="24"/>
        </w:rPr>
      </w:pPr>
      <w:r>
        <w:rPr>
          <w:rFonts w:ascii="Times New Roman" w:hAnsi="Times New Roman"/>
          <w:szCs w:val="24"/>
        </w:rPr>
        <w:t>Alternative energy systems, including but not limited to wind power or solar power systems; and</w:t>
      </w:r>
    </w:p>
    <w:p w:rsidR="003B3C67" w:rsidRDefault="003B3C67" w:rsidP="003B3C67">
      <w:pPr>
        <w:rPr>
          <w:rFonts w:ascii="Times New Roman" w:hAnsi="Times New Roman"/>
          <w:szCs w:val="24"/>
        </w:rPr>
      </w:pPr>
    </w:p>
    <w:p w:rsidR="003B3C67" w:rsidRDefault="003B3C67" w:rsidP="003B3C67">
      <w:pPr>
        <w:ind w:left="2160"/>
        <w:rPr>
          <w:rFonts w:ascii="Times New Roman" w:hAnsi="Times New Roman"/>
          <w:szCs w:val="24"/>
        </w:rPr>
      </w:pPr>
      <w:r>
        <w:rPr>
          <w:rFonts w:ascii="Times New Roman" w:hAnsi="Times New Roman"/>
          <w:szCs w:val="24"/>
        </w:rPr>
        <w:t>Other projects designed to reduce the consumption or use of energy.</w:t>
      </w:r>
    </w:p>
    <w:p w:rsidR="003B3C67" w:rsidRDefault="003B3C67" w:rsidP="003B3C67">
      <w:pPr>
        <w:rPr>
          <w:rFonts w:ascii="Times New Roman" w:hAnsi="Times New Roman"/>
          <w:szCs w:val="24"/>
        </w:rPr>
      </w:pPr>
    </w:p>
    <w:p w:rsidR="003B3C67" w:rsidRDefault="003B3C67" w:rsidP="003B3C67">
      <w:pPr>
        <w:ind w:left="1800"/>
        <w:rPr>
          <w:rFonts w:ascii="Times New Roman" w:hAnsi="Times New Roman"/>
          <w:szCs w:val="24"/>
        </w:rPr>
      </w:pPr>
      <w:r>
        <w:rPr>
          <w:rFonts w:ascii="Times New Roman" w:hAnsi="Times New Roman"/>
          <w:szCs w:val="24"/>
        </w:rPr>
        <w:t xml:space="preserve">An energy efficiency project may involve different types of work on a single building or structure, or may involve a single type of work (e.g., new roofing or windows) on several buildings or structures.  There is no limit to the cost of a project; however, grant awards shall not exceed $250,000 per project per </w:t>
      </w:r>
      <w:r>
        <w:rPr>
          <w:rFonts w:ascii="Times New Roman" w:hAnsi="Times New Roman"/>
          <w:szCs w:val="24"/>
        </w:rPr>
        <w:lastRenderedPageBreak/>
        <w:t>fiscal year, and applicants shall provide a match from local funds and/or eligible federal or other funds equal to the grant amount requested (see Section 5-200(a) of the School Construction Law).</w:t>
      </w:r>
    </w:p>
    <w:p w:rsidR="003B3C67" w:rsidRDefault="003B3C67" w:rsidP="003B3C67">
      <w:pPr>
        <w:rPr>
          <w:rFonts w:ascii="Times New Roman" w:hAnsi="Times New Roman"/>
          <w:szCs w:val="24"/>
        </w:rPr>
      </w:pPr>
    </w:p>
    <w:p w:rsidR="003B3C67" w:rsidRDefault="003B3C67" w:rsidP="003B3C67">
      <w:pPr>
        <w:ind w:left="720" w:firstLine="720"/>
        <w:rPr>
          <w:rFonts w:ascii="Times New Roman" w:hAnsi="Times New Roman"/>
          <w:szCs w:val="24"/>
        </w:rPr>
      </w:pPr>
      <w:r>
        <w:rPr>
          <w:rFonts w:ascii="Times New Roman" w:hAnsi="Times New Roman"/>
          <w:szCs w:val="24"/>
        </w:rPr>
        <w:t xml:space="preserve">"Grant" means a school energy efficiency project grant. </w:t>
      </w:r>
    </w:p>
    <w:p w:rsidR="003B3C67" w:rsidRDefault="003B3C67" w:rsidP="003B3C67">
      <w:pPr>
        <w:rPr>
          <w:rFonts w:ascii="Times New Roman" w:hAnsi="Times New Roman"/>
          <w:szCs w:val="24"/>
        </w:rPr>
      </w:pPr>
    </w:p>
    <w:p w:rsidR="003B3C67" w:rsidRDefault="003B3C67" w:rsidP="003B3C67">
      <w:pPr>
        <w:ind w:left="1440"/>
        <w:rPr>
          <w:rFonts w:ascii="Times New Roman" w:hAnsi="Times New Roman"/>
          <w:color w:val="000000"/>
          <w:szCs w:val="24"/>
        </w:rPr>
      </w:pPr>
      <w:r>
        <w:rPr>
          <w:rFonts w:ascii="Times New Roman" w:hAnsi="Times New Roman"/>
          <w:szCs w:val="24"/>
        </w:rPr>
        <w:t xml:space="preserve">"Regional office of education" has the meaning set forth in Article 3A of the School Code [105 ILCS 5/Art. 3A] and includes </w:t>
      </w:r>
      <w:r>
        <w:rPr>
          <w:rFonts w:ascii="Times New Roman" w:hAnsi="Times New Roman"/>
          <w:i/>
          <w:iCs/>
          <w:szCs w:val="24"/>
        </w:rPr>
        <w:t xml:space="preserve">the </w:t>
      </w:r>
      <w:r>
        <w:rPr>
          <w:rFonts w:ascii="Times New Roman" w:hAnsi="Times New Roman"/>
          <w:i/>
          <w:iCs/>
          <w:color w:val="000000"/>
          <w:szCs w:val="24"/>
        </w:rPr>
        <w:t>chief administrative officer of the educational service centers established pursuant to Section 2-3.62 of</w:t>
      </w:r>
      <w:r>
        <w:rPr>
          <w:rFonts w:ascii="Times New Roman" w:hAnsi="Times New Roman"/>
          <w:color w:val="000000"/>
          <w:szCs w:val="24"/>
        </w:rPr>
        <w:t xml:space="preserve"> the School Code [105 ILCS 5/2-3.62] (Section 3-0.01 of the School Code). </w:t>
      </w:r>
    </w:p>
    <w:p w:rsidR="003B3C67" w:rsidRDefault="003B3C67" w:rsidP="003B3C67">
      <w:pPr>
        <w:rPr>
          <w:rFonts w:ascii="Times New Roman" w:hAnsi="Times New Roman"/>
          <w:szCs w:val="24"/>
        </w:rPr>
      </w:pPr>
    </w:p>
    <w:p w:rsidR="003B3C67" w:rsidRDefault="003B3C67" w:rsidP="003B3C67">
      <w:pPr>
        <w:pStyle w:val="JCARSourceNote"/>
        <w:ind w:left="720"/>
        <w:rPr>
          <w:rFonts w:ascii="Times New Roman" w:hAnsi="Times New Roman"/>
          <w:szCs w:val="24"/>
        </w:rPr>
      </w:pPr>
      <w:r>
        <w:rPr>
          <w:rFonts w:ascii="Times New Roman" w:hAnsi="Times New Roman"/>
          <w:szCs w:val="24"/>
        </w:rPr>
        <w:t>(Source:  Amended at 39 Ill. Reg. 10035, effective June 30, 2015)</w:t>
      </w:r>
      <w:bookmarkStart w:id="0" w:name="_GoBack"/>
      <w:bookmarkEnd w:id="0"/>
    </w:p>
    <w:sectPr w:rsidR="003B3C6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CAD" w:rsidRDefault="00CD2CAD">
      <w:r>
        <w:separator/>
      </w:r>
    </w:p>
  </w:endnote>
  <w:endnote w:type="continuationSeparator" w:id="0">
    <w:p w:rsidR="00CD2CAD" w:rsidRDefault="00CD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CAD" w:rsidRDefault="00CD2CAD">
      <w:r>
        <w:separator/>
      </w:r>
    </w:p>
  </w:footnote>
  <w:footnote w:type="continuationSeparator" w:id="0">
    <w:p w:rsidR="00CD2CAD" w:rsidRDefault="00CD2C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301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1E97"/>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32F1"/>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01C0"/>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218"/>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87079"/>
    <w:rsid w:val="0039357E"/>
    <w:rsid w:val="00393652"/>
    <w:rsid w:val="00394002"/>
    <w:rsid w:val="0039695D"/>
    <w:rsid w:val="003A1F99"/>
    <w:rsid w:val="003A4E0A"/>
    <w:rsid w:val="003A6E65"/>
    <w:rsid w:val="003B355B"/>
    <w:rsid w:val="003B3C67"/>
    <w:rsid w:val="003B419A"/>
    <w:rsid w:val="003B5138"/>
    <w:rsid w:val="003B78C5"/>
    <w:rsid w:val="003C07D2"/>
    <w:rsid w:val="003D0D44"/>
    <w:rsid w:val="003D12E4"/>
    <w:rsid w:val="003D4D4A"/>
    <w:rsid w:val="003D6852"/>
    <w:rsid w:val="003F0EC8"/>
    <w:rsid w:val="003F2136"/>
    <w:rsid w:val="003F24E6"/>
    <w:rsid w:val="003F366F"/>
    <w:rsid w:val="003F3A28"/>
    <w:rsid w:val="003F47ED"/>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64D"/>
    <w:rsid w:val="005777E6"/>
    <w:rsid w:val="005828DA"/>
    <w:rsid w:val="005840C0"/>
    <w:rsid w:val="00586A81"/>
    <w:rsid w:val="005901D4"/>
    <w:rsid w:val="005948A7"/>
    <w:rsid w:val="005A165A"/>
    <w:rsid w:val="005A2494"/>
    <w:rsid w:val="005A73F7"/>
    <w:rsid w:val="005B3015"/>
    <w:rsid w:val="005C7438"/>
    <w:rsid w:val="005D35F3"/>
    <w:rsid w:val="005E03A7"/>
    <w:rsid w:val="005E3D55"/>
    <w:rsid w:val="005F2891"/>
    <w:rsid w:val="00604BCE"/>
    <w:rsid w:val="00610B0C"/>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4C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37520"/>
    <w:rsid w:val="00944E3D"/>
    <w:rsid w:val="00950386"/>
    <w:rsid w:val="009602D3"/>
    <w:rsid w:val="00960C37"/>
    <w:rsid w:val="00961E38"/>
    <w:rsid w:val="0096515A"/>
    <w:rsid w:val="00965A76"/>
    <w:rsid w:val="00966D51"/>
    <w:rsid w:val="0098276C"/>
    <w:rsid w:val="00983C53"/>
    <w:rsid w:val="00986F7E"/>
    <w:rsid w:val="00987AF0"/>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231C"/>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3749"/>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326A"/>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2CAD"/>
    <w:rsid w:val="00CD3723"/>
    <w:rsid w:val="00CD5413"/>
    <w:rsid w:val="00CE01BF"/>
    <w:rsid w:val="00CE4292"/>
    <w:rsid w:val="00D03A79"/>
    <w:rsid w:val="00D0676C"/>
    <w:rsid w:val="00D10D50"/>
    <w:rsid w:val="00D14E39"/>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3CE"/>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5356"/>
    <w:rsid w:val="00F46DB5"/>
    <w:rsid w:val="00F50CD3"/>
    <w:rsid w:val="00F51039"/>
    <w:rsid w:val="00F525F7"/>
    <w:rsid w:val="00F6395D"/>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18BDA01-BC67-4D7E-9111-C939720AA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749"/>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9705696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4</cp:revision>
  <dcterms:created xsi:type="dcterms:W3CDTF">2015-05-21T19:42:00Z</dcterms:created>
  <dcterms:modified xsi:type="dcterms:W3CDTF">2015-07-10T20:08:00Z</dcterms:modified>
</cp:coreProperties>
</file>